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0"/>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0"/>
        <w:ind w:firstLine="300"/>
        <w:spacing w:line="360" w:lineRule="auto"/>
        <w:rPr>
          <w:rFonts w:ascii="宋体" w:hAnsi="宋体"/>
          <w:sz w:val="60"/>
          <w:szCs w:val="60"/>
        </w:rPr>
      </w:pPr>
      <w:r>
        <w:rPr>
          <w:rFonts w:ascii="宋体" w:hAnsi="宋体"/>
          <w:sz w:val="60"/>
          <w:szCs w:val="60"/>
        </w:rPr>
      </w:r>
      <w:r/>
    </w:p>
    <w:p>
      <w:pPr>
        <w:pStyle w:val="1070"/>
        <w:jc w:val="center"/>
        <w:rPr>
          <w:rFonts w:ascii="宋体" w:hAnsi="宋体"/>
          <w:b/>
          <w:bCs/>
          <w:sz w:val="60"/>
          <w:szCs w:val="60"/>
        </w:rPr>
      </w:pPr>
      <w:r>
        <w:rPr>
          <w:rFonts w:ascii="宋体" w:hAnsi="宋体"/>
          <w:b/>
          <w:bCs/>
          <w:sz w:val="60"/>
          <w:szCs w:val="60"/>
        </w:rPr>
        <w:t xml:space="preserve">常州市政府采购项目</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0"/>
        <w:jc w:val="center"/>
        <w:rPr>
          <w:rFonts w:ascii="宋体" w:hAnsi="宋体"/>
          <w:b/>
          <w:bCs/>
          <w:sz w:val="60"/>
          <w:szCs w:val="60"/>
        </w:rPr>
      </w:pPr>
      <w:r>
        <w:rPr>
          <w:rFonts w:ascii="宋体" w:hAnsi="宋体"/>
          <w:b/>
          <w:bCs/>
          <w:sz w:val="60"/>
          <w:szCs w:val="60"/>
        </w:rPr>
      </w:r>
      <w:r/>
    </w:p>
    <w:p>
      <w:pPr>
        <w:pStyle w:val="1070"/>
        <w:jc w:val="center"/>
        <w:rPr>
          <w:rFonts w:ascii="宋体" w:hAnsi="宋体"/>
          <w:b/>
          <w:bCs/>
          <w:sz w:val="60"/>
          <w:szCs w:val="60"/>
        </w:rPr>
      </w:pPr>
      <w:r>
        <w:rPr>
          <w:rFonts w:ascii="宋体" w:hAnsi="宋体"/>
          <w:b/>
          <w:bCs/>
          <w:sz w:val="60"/>
          <w:szCs w:val="60"/>
        </w:rPr>
      </w:r>
      <w:r/>
    </w:p>
    <w:p>
      <w:pPr>
        <w:pStyle w:val="1070"/>
        <w:jc w:val="center"/>
        <w:spacing w:line="360" w:lineRule="auto"/>
        <w:rPr>
          <w:rFonts w:ascii="宋体" w:hAnsi="宋体"/>
          <w:sz w:val="60"/>
          <w:szCs w:val="60"/>
        </w:rPr>
      </w:pPr>
      <w:r>
        <w:rPr>
          <w:rFonts w:ascii="宋体" w:hAnsi="宋体"/>
          <w:sz w:val="60"/>
          <w:szCs w:val="60"/>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常州市中医医院特殊医学用途蛋白质组件配方食品（肽类）采购项目</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JSZC-320400-CTZB-G2025-0348</w:t>
      </w:r>
      <w:r>
        <w:rPr>
          <w:rFonts w:hint="eastAsia"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1070"/>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0"/>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0"/>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123"/>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6"/>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6"/>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5</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6"/>
          <w:color w:val="000000"/>
          <w:sz w:val="32"/>
          <w:szCs w:val="32"/>
        </w:rPr>
        <w:t xml:space="preserve">第三章   资</w:t>
      </w:r>
      <w:bookmarkStart w:id="1" w:name="_Hlt100754117"/>
      <w:r>
        <w:rPr>
          <w:rStyle w:val="1146"/>
          <w:color w:val="000000"/>
          <w:sz w:val="32"/>
          <w:szCs w:val="32"/>
        </w:rPr>
        <w:t xml:space="preserve">格</w:t>
      </w:r>
      <w:bookmarkEnd w:id="1"/>
      <w:r>
        <w:rPr>
          <w:rStyle w:val="1146"/>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19</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6"/>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22</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6"/>
          <w:color w:val="000000"/>
          <w:sz w:val="32"/>
          <w:szCs w:val="32"/>
        </w:rPr>
        <w:t xml:space="preserve">第五章   采购</w:t>
      </w:r>
      <w:bookmarkStart w:id="2" w:name="_Hlt100754103"/>
      <w:r/>
      <w:bookmarkStart w:id="3" w:name="_Hlt100754102"/>
      <w:r>
        <w:rPr>
          <w:rStyle w:val="1146"/>
          <w:color w:val="000000"/>
          <w:sz w:val="32"/>
          <w:szCs w:val="32"/>
        </w:rPr>
        <w:t xml:space="preserve">需</w:t>
      </w:r>
      <w:bookmarkEnd w:id="2"/>
      <w:r/>
      <w:bookmarkEnd w:id="3"/>
      <w:r>
        <w:rPr>
          <w:rStyle w:val="1146"/>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29</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6"/>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31</w:t>
      </w:r>
      <w:r>
        <w:rPr>
          <w:sz w:val="32"/>
          <w:szCs w:val="32"/>
        </w:rPr>
        <w:fldChar w:fldCharType="end"/>
        <w:fldChar w:fldCharType="end"/>
      </w:r>
      <w:r>
        <w:rPr>
          <w:b w:val="0"/>
          <w:sz w:val="32"/>
          <w:szCs w:val="32"/>
        </w:rPr>
      </w:r>
      <w:r/>
    </w:p>
    <w:p>
      <w:pPr>
        <w:pStyle w:val="1123"/>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6"/>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32</w:t>
      </w:r>
      <w:r>
        <w:rPr>
          <w:sz w:val="32"/>
          <w:szCs w:val="32"/>
        </w:rPr>
        <w:fldChar w:fldCharType="end"/>
        <w:fldChar w:fldCharType="end"/>
      </w:r>
      <w:r>
        <w:rPr>
          <w:b w:val="0"/>
          <w:sz w:val="32"/>
          <w:szCs w:val="32"/>
        </w:rPr>
      </w:r>
      <w:r/>
    </w:p>
    <w:p>
      <w:pPr>
        <w:pStyle w:val="1123"/>
        <w:spacing w:line="720" w:lineRule="auto"/>
        <w:rPr>
          <w:b w:val="0"/>
        </w:rPr>
      </w:pPr>
      <w:r>
        <w:rPr>
          <w:b w:val="0"/>
          <w:sz w:val="32"/>
          <w:szCs w:val="32"/>
        </w:rPr>
        <w:fldChar w:fldCharType="end"/>
      </w:r>
      <w:r>
        <w:rPr>
          <w:b w:val="0"/>
        </w:rPr>
      </w:r>
      <w:r/>
    </w:p>
    <w:p>
      <w:pPr>
        <w:pStyle w:val="1070"/>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0"/>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常州市中医医院特殊医学用途蛋白质组件配方食品（肽类）采购项目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cs="宋体"/>
          <w:b/>
          <w:sz w:val="32"/>
          <w:szCs w:val="32"/>
        </w:rPr>
        <w:t xml:space="preserve">202</w:t>
      </w:r>
      <w:r>
        <w:rPr>
          <w:rFonts w:ascii="仿宋" w:hAnsi="仿宋" w:eastAsia="仿宋" w:cs="宋体"/>
          <w:b/>
          <w:sz w:val="32"/>
          <w:szCs w:val="32"/>
        </w:rPr>
        <w:t xml:space="preserve">6</w:t>
      </w:r>
      <w:r>
        <w:rPr>
          <w:rFonts w:hint="eastAsia" w:ascii="仿宋" w:hAnsi="仿宋" w:eastAsia="仿宋" w:cs="宋体"/>
          <w:b/>
          <w:sz w:val="32"/>
          <w:szCs w:val="32"/>
        </w:rPr>
        <w:t xml:space="preserve">年</w:t>
      </w:r>
      <w:r>
        <w:rPr>
          <w:rFonts w:ascii="仿宋" w:hAnsi="仿宋" w:eastAsia="仿宋" w:cs="宋体"/>
          <w:b/>
          <w:sz w:val="32"/>
          <w:szCs w:val="32"/>
        </w:rPr>
        <w:t xml:space="preserve">01</w:t>
      </w:r>
      <w:r>
        <w:rPr>
          <w:rFonts w:hint="eastAsia" w:ascii="仿宋" w:hAnsi="仿宋" w:eastAsia="仿宋" w:cs="宋体"/>
          <w:b/>
          <w:sz w:val="32"/>
          <w:szCs w:val="32"/>
        </w:rPr>
        <w:t xml:space="preserve">月</w:t>
      </w:r>
      <w:r>
        <w:rPr>
          <w:rFonts w:ascii="仿宋" w:hAnsi="仿宋" w:eastAsia="仿宋" w:cs="宋体"/>
          <w:b/>
          <w:sz w:val="32"/>
          <w:szCs w:val="32"/>
        </w:rPr>
        <w:t xml:space="preserve">14</w:t>
      </w:r>
      <w:r>
        <w:rPr>
          <w:rFonts w:hint="eastAsia" w:ascii="仿宋" w:hAnsi="仿宋" w:eastAsia="仿宋" w:cs="宋体"/>
          <w:b/>
          <w:sz w:val="32"/>
          <w:szCs w:val="32"/>
        </w:rPr>
        <w:t xml:space="preserve">日</w:t>
      </w:r>
      <w:r>
        <w:rPr>
          <w:rFonts w:ascii="仿宋" w:hAnsi="仿宋" w:eastAsia="仿宋" w:cs="宋体"/>
          <w:b/>
          <w:sz w:val="32"/>
          <w:szCs w:val="32"/>
        </w:rPr>
        <w:t xml:space="preserve">14</w:t>
      </w:r>
      <w:r>
        <w:rPr>
          <w:rFonts w:hint="eastAsia" w:ascii="仿宋" w:hAnsi="仿宋" w:eastAsia="仿宋" w:cs="宋体"/>
          <w:b/>
          <w:sz w:val="32"/>
          <w:szCs w:val="32"/>
        </w:rPr>
        <w:t xml:space="preserve">点</w:t>
      </w:r>
      <w:r>
        <w:rPr>
          <w:rFonts w:ascii="仿宋" w:hAnsi="仿宋" w:eastAsia="仿宋" w:cs="宋体"/>
          <w:b/>
          <w:sz w:val="32"/>
          <w:szCs w:val="32"/>
        </w:rPr>
        <w:t xml:space="preserve">00</w:t>
      </w:r>
      <w:r>
        <w:rPr>
          <w:rFonts w:hint="eastAsia" w:ascii="仿宋" w:hAnsi="仿宋" w:eastAsia="仿宋" w:cs="宋体"/>
          <w:b/>
          <w:sz w:val="32"/>
          <w:szCs w:val="32"/>
        </w:rPr>
        <w:t xml:space="preserve">分</w:t>
      </w:r>
      <w:r>
        <w:rPr>
          <w:rFonts w:hint="eastAsia" w:ascii="仿宋" w:hAnsi="仿宋" w:eastAsia="仿宋" w:cs="宋体"/>
          <w:b/>
          <w:bCs/>
          <w:sz w:val="32"/>
          <w:szCs w:val="32"/>
        </w:rPr>
        <w:t xml:space="preserve">（北京时间）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2"/>
        <w:ind w:firstLine="643"/>
        <w:jc w:val="left"/>
        <w:spacing w:before="240" w:line="360" w:lineRule="auto"/>
        <w:rPr>
          <w:rFonts w:ascii="仿宋" w:hAnsi="仿宋" w:eastAsia="仿宋"/>
          <w:sz w:val="32"/>
          <w:szCs w:val="32"/>
        </w:rPr>
      </w:pPr>
      <w:r/>
      <w:bookmarkStart w:id="5" w:name="_Toc35393621"/>
      <w:r/>
      <w:bookmarkStart w:id="6" w:name="_Toc28359079"/>
      <w:r/>
      <w:bookmarkStart w:id="7" w:name="_Toc35393790"/>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JSZC-320400-CTZB-G2025-0348</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常州市中医医院特殊医学用途蛋白质组件配方食品（肽类）采购项目</w:t>
      </w:r>
      <w:r>
        <w:rPr>
          <w:rFonts w:ascii="仿宋" w:hAnsi="仿宋" w:eastAsia="仿宋"/>
          <w:sz w:val="32"/>
          <w:szCs w:val="32"/>
        </w:rPr>
      </w:r>
      <w:r/>
    </w:p>
    <w:p>
      <w:pPr>
        <w:pStyle w:val="1070"/>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w:t>
      </w:r>
      <w:r>
        <w:rPr>
          <w:rFonts w:hint="eastAsia" w:ascii="仿宋" w:hAnsi="仿宋" w:eastAsia="仿宋"/>
          <w:sz w:val="32"/>
          <w:szCs w:val="32"/>
        </w:rPr>
        <w:t xml:space="preserve">：50</w:t>
      </w:r>
      <w:r>
        <w:rPr>
          <w:rFonts w:ascii="仿宋" w:hAnsi="仿宋" w:eastAsia="仿宋"/>
          <w:sz w:val="32"/>
          <w:szCs w:val="32"/>
        </w:rPr>
        <w:t xml:space="preserve">万元</w:t>
      </w:r>
      <w:r>
        <w:rPr>
          <w:rFonts w:hint="eastAsia" w:ascii="仿宋" w:hAnsi="仿宋" w:eastAsia="仿宋"/>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w:t>
      </w:r>
      <w:r>
        <w:rPr>
          <w:rFonts w:hint="eastAsia" w:ascii="仿宋" w:hAnsi="仿宋" w:eastAsia="仿宋" w:cs="宋体"/>
          <w:sz w:val="32"/>
          <w:szCs w:val="32"/>
        </w:rPr>
        <w:t xml:space="preserve">人民币2.211元/毫升</w:t>
      </w:r>
      <w:r>
        <w:rPr>
          <w:rFonts w:hint="eastAsia"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1557"/>
        <w:gridCol w:w="1701"/>
        <w:gridCol w:w="997"/>
        <w:gridCol w:w="4273"/>
      </w:tblGrid>
      <w:tr>
        <w:trPr>
          <w:trHeight w:val="454"/>
        </w:trPr>
        <w:tc>
          <w:tcPr>
            <w:tcW w:w="383"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包号</w:t>
            </w:r>
            <w:r/>
          </w:p>
        </w:tc>
        <w:tc>
          <w:tcPr>
            <w:tcW w:w="843"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标的名称</w:t>
            </w:r>
            <w:r/>
          </w:p>
        </w:tc>
        <w:tc>
          <w:tcPr>
            <w:tcW w:w="921"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采购包预算金额</w:t>
            </w:r>
            <w:r/>
          </w:p>
          <w:p>
            <w:pPr>
              <w:pStyle w:val="1070"/>
              <w:jc w:val="center"/>
              <w:rPr>
                <w:rFonts w:ascii="仿宋" w:hAnsi="仿宋" w:eastAsia="仿宋"/>
                <w:bCs/>
                <w:sz w:val="32"/>
                <w:szCs w:val="32"/>
              </w:rPr>
            </w:pPr>
            <w:r>
              <w:rPr>
                <w:rFonts w:ascii="仿宋" w:hAnsi="仿宋" w:eastAsia="仿宋"/>
                <w:bCs/>
                <w:sz w:val="32"/>
                <w:szCs w:val="32"/>
              </w:rPr>
              <w:t xml:space="preserve">（万元）</w:t>
            </w:r>
            <w:r/>
          </w:p>
        </w:tc>
        <w:tc>
          <w:tcPr>
            <w:tcW w:w="54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数量</w:t>
            </w:r>
            <w:r/>
          </w:p>
        </w:tc>
        <w:tc>
          <w:tcPr>
            <w:tcW w:w="2313" w:type="pct"/>
            <w:vAlign w:val="center"/>
            <w:textDirection w:val="lrTb"/>
            <w:noWrap w:val="false"/>
          </w:tcPr>
          <w:p>
            <w:pPr>
              <w:pStyle w:val="1070"/>
              <w:jc w:val="center"/>
              <w:rPr>
                <w:rFonts w:ascii="仿宋" w:hAnsi="仿宋" w:eastAsia="仿宋"/>
                <w:sz w:val="32"/>
                <w:szCs w:val="32"/>
              </w:rPr>
            </w:pPr>
            <w:r>
              <w:rPr>
                <w:rFonts w:ascii="仿宋" w:hAnsi="仿宋" w:eastAsia="仿宋"/>
                <w:sz w:val="32"/>
                <w:szCs w:val="32"/>
              </w:rPr>
              <w:t xml:space="preserve">简要技术需求或服务要求</w:t>
            </w:r>
            <w:r/>
          </w:p>
        </w:tc>
      </w:tr>
      <w:tr>
        <w:trPr>
          <w:trHeight w:val="454"/>
        </w:trPr>
        <w:tc>
          <w:tcPr>
            <w:tcW w:w="383"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01</w:t>
            </w:r>
            <w:r/>
          </w:p>
        </w:tc>
        <w:tc>
          <w:tcPr>
            <w:tcW w:w="843"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特殊医学用途蛋白质组件配方食品（肽类）</w:t>
            </w:r>
            <w:r>
              <w:rPr>
                <w:rFonts w:ascii="仿宋" w:hAnsi="仿宋" w:eastAsia="仿宋"/>
                <w:bCs/>
                <w:sz w:val="32"/>
                <w:szCs w:val="32"/>
              </w:rPr>
            </w:r>
            <w:r/>
          </w:p>
        </w:tc>
        <w:tc>
          <w:tcPr>
            <w:tcW w:w="921" w:type="pct"/>
            <w:vAlign w:val="center"/>
            <w:textDirection w:val="lrTb"/>
            <w:noWrap w:val="false"/>
          </w:tcPr>
          <w:p>
            <w:pPr>
              <w:pStyle w:val="1070"/>
              <w:jc w:val="center"/>
              <w:rPr>
                <w:rFonts w:ascii="仿宋" w:hAnsi="仿宋" w:eastAsia="仿宋"/>
                <w:bCs/>
                <w:sz w:val="32"/>
                <w:szCs w:val="32"/>
              </w:rPr>
            </w:pPr>
            <w:r>
              <w:rPr>
                <w:rFonts w:hint="eastAsia" w:ascii="仿宋" w:hAnsi="仿宋" w:eastAsia="仿宋"/>
                <w:bCs/>
                <w:sz w:val="32"/>
                <w:szCs w:val="32"/>
              </w:rPr>
              <w:t xml:space="preserve">50</w:t>
            </w:r>
            <w:r>
              <w:rPr>
                <w:rFonts w:ascii="仿宋" w:hAnsi="仿宋" w:eastAsia="仿宋"/>
                <w:bCs/>
                <w:sz w:val="32"/>
                <w:szCs w:val="32"/>
              </w:rPr>
            </w:r>
            <w:r/>
          </w:p>
        </w:tc>
        <w:tc>
          <w:tcPr>
            <w:tcW w:w="540" w:type="pct"/>
            <w:vAlign w:val="center"/>
            <w:textDirection w:val="lrTb"/>
            <w:noWrap w:val="false"/>
          </w:tcPr>
          <w:p>
            <w:pPr>
              <w:pStyle w:val="1070"/>
              <w:jc w:val="center"/>
              <w:rPr>
                <w:rFonts w:ascii="仿宋" w:hAnsi="仿宋" w:eastAsia="仿宋"/>
                <w:bCs/>
                <w:sz w:val="32"/>
                <w:szCs w:val="32"/>
              </w:rPr>
            </w:pPr>
            <w:r>
              <w:rPr>
                <w:rFonts w:ascii="仿宋" w:hAnsi="仿宋" w:eastAsia="仿宋"/>
                <w:bCs/>
                <w:sz w:val="32"/>
                <w:szCs w:val="32"/>
              </w:rPr>
              <w:t xml:space="preserve">2</w:t>
            </w:r>
            <w:r>
              <w:rPr>
                <w:rFonts w:hint="eastAsia" w:ascii="仿宋" w:hAnsi="仿宋" w:eastAsia="仿宋"/>
                <w:bCs/>
                <w:sz w:val="32"/>
                <w:szCs w:val="32"/>
              </w:rPr>
              <w:t xml:space="preserve">年</w:t>
            </w:r>
            <w:r>
              <w:rPr>
                <w:rFonts w:ascii="仿宋" w:hAnsi="仿宋" w:eastAsia="仿宋"/>
                <w:bCs/>
                <w:sz w:val="32"/>
                <w:szCs w:val="32"/>
              </w:rPr>
            </w:r>
            <w:r/>
          </w:p>
        </w:tc>
        <w:tc>
          <w:tcPr>
            <w:tcW w:w="2313" w:type="pct"/>
            <w:vAlign w:val="center"/>
            <w:textDirection w:val="lrTb"/>
            <w:noWrap w:val="false"/>
          </w:tcPr>
          <w:p>
            <w:pPr>
              <w:pStyle w:val="1070"/>
              <w:jc w:val="center"/>
              <w:rPr>
                <w:rFonts w:ascii="宋体" w:hAnsi="宋体"/>
                <w:szCs w:val="21"/>
              </w:rPr>
            </w:pPr>
            <w:r>
              <w:rPr>
                <w:rFonts w:hint="eastAsia" w:ascii="仿宋" w:hAnsi="仿宋" w:eastAsia="仿宋"/>
                <w:sz w:val="32"/>
                <w:szCs w:val="32"/>
              </w:rPr>
              <w:t xml:space="preserve">10岁以上特定疾病或医学状况下需要补充蛋白质的人群。</w:t>
            </w:r>
            <w:r>
              <w:rPr>
                <w:rFonts w:ascii="宋体" w:hAnsi="宋体"/>
                <w:szCs w:val="21"/>
              </w:rPr>
            </w:r>
            <w:r/>
          </w:p>
        </w:tc>
      </w:tr>
    </w:tbl>
    <w:p>
      <w:pPr>
        <w:pStyle w:val="1070"/>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w:t>
      </w:r>
      <w:r>
        <w:rPr>
          <w:rFonts w:hint="eastAsia" w:ascii="仿宋" w:hAnsi="仿宋" w:eastAsia="仿宋" w:cs="宋体"/>
          <w:sz w:val="32"/>
          <w:szCs w:val="32"/>
        </w:rPr>
        <w:t xml:space="preserve">供货期限2年。</w:t>
      </w:r>
      <w:r>
        <w:rPr>
          <w:rFonts w:ascii="仿宋" w:hAnsi="仿宋" w:eastAsia="仿宋"/>
          <w:sz w:val="32"/>
          <w:szCs w:val="32"/>
          <w:u w:val="single"/>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2"/>
        <w:ind w:firstLine="643"/>
        <w:jc w:val="left"/>
        <w:spacing w:before="0" w:line="360" w:lineRule="auto"/>
        <w:rPr>
          <w:rFonts w:ascii="仿宋" w:hAnsi="仿宋" w:eastAsia="仿宋"/>
          <w:sz w:val="32"/>
          <w:szCs w:val="32"/>
        </w:rPr>
      </w:pPr>
      <w:r/>
      <w:bookmarkStart w:id="10" w:name="_Toc28359003"/>
      <w:r/>
      <w:bookmarkStart w:id="11" w:name="_Toc28359080"/>
      <w:r/>
      <w:bookmarkStart w:id="12" w:name="_Toc35393791"/>
      <w:r/>
      <w:bookmarkStart w:id="13" w:name="_Toc35393622"/>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0"/>
        <w:ind w:firstLine="640"/>
        <w:spacing w:line="360" w:lineRule="auto"/>
        <w:rPr>
          <w:rFonts w:ascii="仿宋" w:hAnsi="仿宋" w:eastAsia="仿宋"/>
          <w:sz w:val="32"/>
          <w:szCs w:val="32"/>
        </w:rPr>
      </w:pPr>
      <w:r/>
      <w:bookmarkStart w:id="14" w:name="_Toc28359004"/>
      <w:r/>
      <w:bookmarkStart w:id="15" w:name="_Toc28359081"/>
      <w:r>
        <w:rPr>
          <w:rFonts w:ascii="仿宋" w:hAnsi="仿宋" w:eastAsia="仿宋"/>
          <w:sz w:val="32"/>
          <w:szCs w:val="32"/>
        </w:rPr>
        <w:t xml:space="preserve">2.落实政府采购政策需满足的资格要求：</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0"/>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0"/>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提供的货物全部由符合政策要求的中小/小微企业制造。</w:t>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0"/>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i/>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rPr>
          <w:rFonts w:ascii="仿宋" w:hAnsi="仿宋" w:eastAsia="仿宋"/>
          <w:i/>
          <w:sz w:val="32"/>
          <w:szCs w:val="32"/>
        </w:rPr>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0"/>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0"/>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3.3其他特定资格要求：</w:t>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sz w:val="32"/>
          <w:szCs w:val="32"/>
          <w:u w:val="single"/>
        </w:rPr>
      </w:pPr>
      <w:r>
        <w:rPr>
          <w:rFonts w:hint="eastAsia" w:ascii="仿宋" w:hAnsi="仿宋" w:eastAsia="仿宋"/>
          <w:b/>
          <w:sz w:val="32"/>
          <w:szCs w:val="32"/>
        </w:rPr>
        <w:t xml:space="preserve">投标人须满足下列条件之一:</w:t>
      </w:r>
      <w:r>
        <w:rPr>
          <w:rFonts w:hint="eastAsia" w:ascii="仿宋" w:hAnsi="仿宋" w:eastAsia="仿宋"/>
          <w:sz w:val="32"/>
          <w:szCs w:val="32"/>
          <w:u w:val="single"/>
        </w:rPr>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（1）投标人具有食品生产许可证(含特殊医学用途配方食品) ;</w:t>
      </w:r>
      <w:r/>
    </w:p>
    <w:p>
      <w:pPr>
        <w:pStyle w:val="1070"/>
        <w:ind w:firstLine="643"/>
        <w:spacing w:line="360" w:lineRule="auto"/>
        <w:tabs>
          <w:tab w:val="left" w:pos="900" w:leader="none"/>
          <w:tab w:val="left" w:pos="1134" w:leader="none"/>
          <w:tab w:val="left" w:pos="1589" w:leader="none"/>
          <w:tab w:val="left" w:pos="5521" w:leader="none"/>
        </w:tabs>
        <w:rPr>
          <w:rFonts w:hint="eastAsia" w:ascii="仿宋" w:hAnsi="仿宋" w:eastAsia="仿宋"/>
          <w:b/>
          <w:sz w:val="32"/>
          <w:szCs w:val="32"/>
        </w:rPr>
      </w:pPr>
      <w:r>
        <w:rPr>
          <w:rFonts w:hint="eastAsia" w:ascii="仿宋" w:hAnsi="仿宋" w:eastAsia="仿宋"/>
          <w:b/>
          <w:sz w:val="32"/>
          <w:szCs w:val="32"/>
        </w:rPr>
        <w:t xml:space="preserve">（2）投标人具有食品经营许可证(含特殊医学用途配方食品) 或完整的食品经营者备案信息采集表(含特殊医学用途配方食品），同时提供所投产品生产厂家的食品生产许可证(含特殊医学用途配方食品)。</w:t>
      </w:r>
      <w:r/>
    </w:p>
    <w:p>
      <w:pPr>
        <w:pStyle w:val="1072"/>
        <w:ind w:firstLine="643"/>
        <w:jc w:val="left"/>
        <w:spacing w:before="0" w:line="360" w:lineRule="auto"/>
        <w:widowControl/>
        <w:rPr>
          <w:rFonts w:ascii="仿宋" w:hAnsi="仿宋" w:eastAsia="仿宋"/>
          <w:sz w:val="32"/>
          <w:szCs w:val="32"/>
        </w:rPr>
      </w:pPr>
      <w:r/>
      <w:bookmarkEnd w:id="14"/>
      <w:r/>
      <w:bookmarkEnd w:id="15"/>
      <w:r/>
      <w:bookmarkStart w:id="16" w:name="_Toc35393792"/>
      <w:r/>
      <w:bookmarkStart w:id="17" w:name="_Toc35393623"/>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0"/>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w:t>
      </w:r>
      <w:r>
        <w:rPr>
          <w:rFonts w:ascii="仿宋" w:hAnsi="仿宋" w:eastAsia="仿宋"/>
          <w:sz w:val="32"/>
          <w:szCs w:val="32"/>
          <w:lang w:bidi="ar"/>
        </w:rPr>
        <w:t xml:space="preserve">025</w:t>
      </w:r>
      <w:r>
        <w:rPr>
          <w:rFonts w:hint="eastAsia" w:ascii="仿宋" w:hAnsi="仿宋" w:eastAsia="仿宋" w:cs="宋体"/>
          <w:sz w:val="32"/>
          <w:szCs w:val="32"/>
        </w:rPr>
        <w:t xml:space="preserve">年</w:t>
      </w:r>
      <w:r>
        <w:rPr>
          <w:rFonts w:ascii="仿宋" w:hAnsi="仿宋" w:eastAsia="仿宋" w:cs="宋体"/>
          <w:sz w:val="32"/>
          <w:szCs w:val="32"/>
        </w:rPr>
        <w:t xml:space="preserve">12</w:t>
      </w:r>
      <w:r>
        <w:rPr>
          <w:rFonts w:hint="eastAsia" w:ascii="仿宋" w:hAnsi="仿宋" w:eastAsia="仿宋" w:cs="宋体"/>
          <w:sz w:val="32"/>
          <w:szCs w:val="32"/>
        </w:rPr>
        <w:t xml:space="preserve">月</w:t>
      </w:r>
      <w:r>
        <w:rPr>
          <w:rFonts w:ascii="仿宋" w:hAnsi="仿宋" w:eastAsia="仿宋" w:cs="宋体"/>
          <w:sz w:val="32"/>
          <w:szCs w:val="32"/>
        </w:rPr>
        <w:t xml:space="preserve">25</w:t>
      </w:r>
      <w:r>
        <w:rPr>
          <w:rFonts w:hint="eastAsia" w:ascii="仿宋" w:hAnsi="仿宋" w:eastAsia="仿宋" w:cs="宋体"/>
          <w:sz w:val="32"/>
          <w:szCs w:val="32"/>
        </w:rPr>
        <w:t xml:space="preserve">日</w:t>
      </w:r>
      <w:r>
        <w:rPr>
          <w:rFonts w:hint="eastAsia" w:ascii="仿宋" w:hAnsi="仿宋" w:eastAsia="仿宋"/>
          <w:sz w:val="32"/>
          <w:szCs w:val="32"/>
          <w:lang w:bidi="ar"/>
        </w:rPr>
        <w:t xml:space="preserve">至2</w:t>
      </w:r>
      <w:r>
        <w:rPr>
          <w:rFonts w:ascii="仿宋" w:hAnsi="仿宋" w:eastAsia="仿宋"/>
          <w:sz w:val="32"/>
          <w:szCs w:val="32"/>
          <w:lang w:bidi="ar"/>
        </w:rPr>
        <w:t xml:space="preserve">02</w:t>
      </w:r>
      <w:r>
        <w:rPr>
          <w:rFonts w:ascii="仿宋" w:hAnsi="仿宋" w:eastAsia="仿宋"/>
          <w:sz w:val="32"/>
          <w:szCs w:val="32"/>
          <w:lang w:bidi="ar"/>
        </w:rPr>
        <w:t xml:space="preserve">5</w:t>
      </w:r>
      <w:r>
        <w:rPr>
          <w:rFonts w:hint="eastAsia" w:ascii="仿宋" w:hAnsi="仿宋" w:eastAsia="仿宋" w:cs="宋体"/>
          <w:sz w:val="32"/>
          <w:szCs w:val="32"/>
        </w:rPr>
        <w:t xml:space="preserve">年</w:t>
      </w:r>
      <w:r>
        <w:rPr>
          <w:rFonts w:ascii="仿宋" w:hAnsi="仿宋" w:eastAsia="仿宋" w:cs="宋体"/>
          <w:sz w:val="32"/>
          <w:szCs w:val="32"/>
        </w:rPr>
        <w:t xml:space="preserve">12</w:t>
      </w:r>
      <w:r>
        <w:rPr>
          <w:rFonts w:hint="eastAsia" w:ascii="仿宋" w:hAnsi="仿宋" w:eastAsia="仿宋" w:cs="宋体"/>
          <w:sz w:val="32"/>
          <w:szCs w:val="32"/>
        </w:rPr>
        <w:t xml:space="preserve">月</w:t>
      </w:r>
      <w:r>
        <w:rPr>
          <w:rFonts w:ascii="仿宋" w:hAnsi="仿宋" w:eastAsia="仿宋" w:cs="宋体"/>
          <w:sz w:val="32"/>
          <w:szCs w:val="32"/>
        </w:rPr>
        <w:t xml:space="preserve">31</w:t>
      </w:r>
      <w:r>
        <w:rPr>
          <w:rFonts w:hint="eastAsia" w:ascii="仿宋" w:hAnsi="仿宋" w:eastAsia="仿宋" w:cs="宋体"/>
          <w:sz w:val="32"/>
          <w:szCs w:val="32"/>
        </w:rPr>
        <w:t xml:space="preserve">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0"/>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0"/>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0"/>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2"/>
        <w:ind w:firstLine="643"/>
        <w:jc w:val="left"/>
        <w:spacing w:before="0" w:line="360" w:lineRule="auto"/>
        <w:widowControl/>
        <w:rPr>
          <w:rFonts w:ascii="仿宋" w:hAnsi="仿宋" w:eastAsia="仿宋"/>
          <w:sz w:val="32"/>
          <w:szCs w:val="32"/>
        </w:rPr>
      </w:pPr>
      <w:r/>
      <w:bookmarkStart w:id="18" w:name="_Toc28359082"/>
      <w:r/>
      <w:bookmarkStart w:id="19" w:name="_Toc28359005"/>
      <w:r/>
      <w:bookmarkStart w:id="20" w:name="_Toc35393624"/>
      <w:r/>
      <w:bookmarkStart w:id="21" w:name="_Toc35393793"/>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0"/>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2026年01月14日14点00分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0"/>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2"/>
        <w:ind w:firstLine="643"/>
        <w:jc w:val="left"/>
        <w:spacing w:before="0" w:line="360" w:lineRule="auto"/>
        <w:rPr>
          <w:rFonts w:ascii="仿宋" w:hAnsi="仿宋" w:eastAsia="仿宋"/>
          <w:sz w:val="32"/>
          <w:szCs w:val="32"/>
        </w:rPr>
      </w:pPr>
      <w:r/>
      <w:bookmarkStart w:id="22" w:name="_Toc28359007"/>
      <w:r/>
      <w:bookmarkStart w:id="23" w:name="_Toc35393794"/>
      <w:r/>
      <w:bookmarkStart w:id="24" w:name="_Toc35393625"/>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2"/>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0"/>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0"/>
        <w:ind w:firstLine="640"/>
        <w:jc w:val="left"/>
        <w:spacing w:line="360" w:lineRule="auto"/>
        <w:rPr>
          <w:rFonts w:hint="eastAsia" w:ascii="仿宋" w:hAnsi="仿宋" w:eastAsia="仿宋"/>
          <w:sz w:val="32"/>
          <w:szCs w:val="32"/>
          <w:lang w:bidi="ar"/>
        </w:rPr>
      </w:pPr>
      <w:r>
        <w:rPr>
          <w:rFonts w:ascii="仿宋" w:hAnsi="仿宋" w:eastAsia="仿宋"/>
          <w:sz w:val="32"/>
          <w:szCs w:val="32"/>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0"/>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0"/>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0"/>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2"/>
        <w:ind w:firstLine="643"/>
        <w:jc w:val="left"/>
        <w:spacing w:before="0" w:line="360" w:lineRule="auto"/>
        <w:rPr>
          <w:rFonts w:ascii="仿宋" w:hAnsi="仿宋" w:eastAsia="仿宋"/>
          <w:sz w:val="32"/>
          <w:szCs w:val="32"/>
        </w:rPr>
      </w:pPr>
      <w:r/>
      <w:bookmarkStart w:id="28" w:name="_Toc28359085"/>
      <w:r/>
      <w:bookmarkStart w:id="29" w:name="_Toc28359008"/>
      <w:r/>
      <w:bookmarkStart w:id="30" w:name="_Toc35393796"/>
      <w:r/>
      <w:bookmarkStart w:id="31" w:name="_Toc35393627"/>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0"/>
        <w:ind w:firstLine="640"/>
        <w:jc w:val="left"/>
        <w:spacing w:line="360" w:lineRule="auto"/>
        <w:rPr>
          <w:rFonts w:ascii="仿宋" w:hAnsi="仿宋" w:eastAsia="仿宋"/>
          <w:sz w:val="32"/>
          <w:szCs w:val="32"/>
        </w:rPr>
      </w:pPr>
      <w:r>
        <w:rPr>
          <w:rFonts w:ascii="仿宋" w:hAnsi="仿宋" w:eastAsia="仿宋"/>
          <w:sz w:val="32"/>
          <w:szCs w:val="32"/>
        </w:rPr>
        <w:t xml:space="preserve">1.采购人信息</w:t>
      </w:r>
      <w:r/>
    </w:p>
    <w:p>
      <w:pPr>
        <w:pStyle w:val="1070"/>
        <w:ind w:firstLine="640"/>
        <w:jc w:val="left"/>
        <w:spacing w:line="360" w:lineRule="auto"/>
        <w:rPr>
          <w:rFonts w:hint="eastAsia" w:ascii="仿宋" w:hAnsi="仿宋" w:eastAsia="仿宋"/>
          <w:sz w:val="32"/>
          <w:szCs w:val="32"/>
        </w:rPr>
      </w:pPr>
      <w:r/>
      <w:bookmarkStart w:id="32" w:name="_Toc28359086"/>
      <w:r/>
      <w:bookmarkStart w:id="33" w:name="_Toc28359009"/>
      <w:r>
        <w:rPr>
          <w:rFonts w:hint="eastAsia" w:ascii="仿宋" w:hAnsi="仿宋" w:eastAsia="仿宋"/>
          <w:sz w:val="32"/>
          <w:szCs w:val="32"/>
        </w:rPr>
        <w:t xml:space="preserve">名    称：常州市中医医院</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地    址：常州市和平北路25号</w:t>
      </w:r>
      <w:r/>
    </w:p>
    <w:p>
      <w:pPr>
        <w:pStyle w:val="1070"/>
        <w:ind w:firstLine="640"/>
        <w:jc w:val="left"/>
        <w:spacing w:line="360" w:lineRule="auto"/>
        <w:rPr>
          <w:rFonts w:hint="eastAsia" w:ascii="仿宋" w:hAnsi="仿宋" w:eastAsia="仿宋"/>
          <w:sz w:val="32"/>
          <w:szCs w:val="32"/>
        </w:rPr>
      </w:pPr>
      <w:r>
        <w:rPr>
          <w:rFonts w:hint="eastAsia" w:ascii="仿宋" w:hAnsi="仿宋" w:eastAsia="仿宋"/>
          <w:sz w:val="32"/>
          <w:szCs w:val="32"/>
        </w:rPr>
        <w:t xml:space="preserve">联系方式：许先生  </w:t>
      </w:r>
      <w:r>
        <w:rPr>
          <w:rFonts w:ascii="仿宋" w:hAnsi="仿宋" w:eastAsia="仿宋"/>
          <w:sz w:val="32"/>
          <w:szCs w:val="32"/>
        </w:rPr>
        <w:t xml:space="preserve">0519-</w:t>
      </w:r>
      <w:r>
        <w:rPr>
          <w:rFonts w:hint="eastAsia" w:ascii="仿宋" w:hAnsi="仿宋" w:eastAsia="仿宋"/>
          <w:sz w:val="32"/>
          <w:szCs w:val="32"/>
        </w:rPr>
        <w:t xml:space="preserve">89896913</w:t>
      </w:r>
      <w:r/>
    </w:p>
    <w:p>
      <w:pPr>
        <w:pStyle w:val="1070"/>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0"/>
        <w:ind w:firstLine="640"/>
        <w:spacing w:line="360" w:lineRule="auto"/>
        <w:rPr>
          <w:rFonts w:hint="eastAsia" w:ascii="仿宋" w:hAnsi="仿宋" w:eastAsia="仿宋"/>
          <w:sz w:val="32"/>
          <w:szCs w:val="32"/>
        </w:rPr>
      </w:pPr>
      <w:r/>
      <w:bookmarkStart w:id="34" w:name="_Toc28359010"/>
      <w:r/>
      <w:bookmarkStart w:id="35" w:name="_Toc28359087"/>
      <w:r>
        <w:rPr>
          <w:rFonts w:hint="eastAsia" w:ascii="仿宋" w:hAnsi="仿宋" w:eastAsia="仿宋"/>
          <w:sz w:val="32"/>
          <w:szCs w:val="32"/>
        </w:rPr>
        <w:t xml:space="preserve">名    称：常州市城投建设工程招标有限公司</w:t>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0"/>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0"/>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0"/>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0"/>
        <w:ind w:firstLine="640"/>
        <w:spacing w:line="360" w:lineRule="auto"/>
        <w:rPr>
          <w:rFonts w:ascii="仿宋" w:hAnsi="仿宋" w:eastAsia="仿宋"/>
          <w:sz w:val="24"/>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032</w:t>
      </w:r>
      <w:r>
        <w:rPr>
          <w:rFonts w:hint="eastAsia" w:ascii="仿宋" w:hAnsi="仿宋" w:eastAsia="仿宋"/>
          <w:sz w:val="32"/>
          <w:szCs w:val="32"/>
        </w:rPr>
        <w:t xml:space="preserve">）</w:t>
      </w:r>
      <w:r>
        <w:rPr>
          <w:rFonts w:ascii="仿宋" w:hAnsi="仿宋" w:eastAsia="仿宋"/>
          <w:sz w:val="24"/>
        </w:rPr>
      </w:r>
      <w:r/>
    </w:p>
    <w:p>
      <w:pPr>
        <w:pStyle w:val="1070"/>
        <w:jc w:val="center"/>
        <w:spacing w:line="360" w:lineRule="auto"/>
        <w:rPr>
          <w:rFonts w:ascii="宋体" w:hAnsi="宋体"/>
          <w:b/>
          <w:sz w:val="32"/>
          <w:szCs w:val="32"/>
        </w:rPr>
        <w:outlineLvl w:val="0"/>
      </w:pPr>
      <w:r>
        <w:rPr>
          <w:rFonts w:ascii="宋体" w:hAnsi="宋体"/>
          <w:sz w:val="24"/>
        </w:rPr>
        <w:br w:type="page" w:clear="all"/>
      </w:r>
      <w:bookmarkStart w:id="36" w:name="_Toc512937850"/>
      <w:r/>
      <w:bookmarkStart w:id="37" w:name="_Toc353873938"/>
      <w:r/>
      <w:bookmarkStart w:id="38" w:name="_Toc99301420"/>
      <w:r/>
      <w:bookmarkStart w:id="39" w:name="_Toc226965856"/>
      <w:r/>
      <w:bookmarkStart w:id="40" w:name="_Toc195842950"/>
      <w:r/>
      <w:bookmarkStart w:id="41" w:name="_Toc305158928"/>
      <w:r/>
      <w:bookmarkStart w:id="42" w:name="_Toc305158854"/>
      <w:r/>
      <w:bookmarkStart w:id="43" w:name="_Toc150774783"/>
      <w:r/>
      <w:bookmarkStart w:id="44" w:name="_Toc353825548"/>
      <w:r/>
      <w:bookmarkStart w:id="45" w:name="_Toc264969275"/>
      <w:r/>
      <w:bookmarkStart w:id="46" w:name="_Toc265228423"/>
      <w:r/>
      <w:bookmarkStart w:id="47" w:name="_Toc127161488"/>
      <w:r/>
      <w:bookmarkStart w:id="48" w:name="_Toc127151777"/>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2"/>
        <w:spacing w:before="0" w:line="360" w:lineRule="auto"/>
        <w:tabs>
          <w:tab w:val="center" w:pos="4592" w:leader="none"/>
          <w:tab w:val="left" w:pos="7860" w:leader="none"/>
        </w:tabs>
        <w:rPr>
          <w:rFonts w:ascii="宋体" w:hAnsi="宋体" w:eastAsia="宋体"/>
          <w:sz w:val="28"/>
        </w:rPr>
      </w:pPr>
      <w:r/>
      <w:bookmarkStart w:id="49" w:name="_Toc164608633"/>
      <w:r/>
      <w:bookmarkStart w:id="50" w:name="_Toc151193761"/>
      <w:r/>
      <w:bookmarkStart w:id="51" w:name="_Toc151193833"/>
      <w:r/>
      <w:bookmarkStart w:id="52" w:name="_Toc127151519"/>
      <w:r/>
      <w:bookmarkStart w:id="53" w:name="_Toc195842884"/>
      <w:r/>
      <w:bookmarkStart w:id="54" w:name="_Toc127151720"/>
      <w:r/>
      <w:bookmarkStart w:id="55" w:name="_Toc164351613"/>
      <w:r/>
      <w:bookmarkStart w:id="56" w:name="_Toc127161433"/>
      <w:r/>
      <w:bookmarkStart w:id="57" w:name="_Toc149720812"/>
      <w:r/>
      <w:bookmarkStart w:id="58" w:name="_Toc226965792"/>
      <w:r/>
      <w:bookmarkStart w:id="59" w:name="_Toc151193689"/>
      <w:r/>
      <w:bookmarkStart w:id="60" w:name="_Toc164608788"/>
      <w:r/>
      <w:bookmarkStart w:id="61" w:name="_Toc151193617"/>
      <w:r/>
      <w:bookmarkStart w:id="62" w:name="_Toc164229214"/>
      <w:r/>
      <w:bookmarkStart w:id="63" w:name="_Toc142311021"/>
      <w:r/>
      <w:bookmarkStart w:id="64" w:name="_Toc151190146"/>
      <w:r/>
      <w:bookmarkStart w:id="65" w:name="_Toc164229360"/>
      <w:r/>
      <w:bookmarkStart w:id="66" w:name="_Toc226337215"/>
      <w:r/>
      <w:bookmarkStart w:id="67" w:name="_Toc150509270"/>
      <w:r/>
      <w:bookmarkStart w:id="68" w:name="_Toc226309763"/>
      <w:r/>
      <w:bookmarkStart w:id="69" w:name="_Toc150480757"/>
      <w:r/>
      <w:bookmarkStart w:id="70" w:name="_Toc226965709"/>
      <w:r/>
      <w:bookmarkStart w:id="71" w:name="_Toc150774724"/>
      <w:r/>
      <w:bookmarkStart w:id="72" w:name="_Toc150774619"/>
      <w:r/>
      <w:bookmarkStart w:id="73" w:name="_Toc151193907"/>
      <w:r/>
      <w:bookmarkStart w:id="74" w:name="_Toc520356144"/>
      <w:r>
        <w:rPr>
          <w:rFonts w:ascii="宋体" w:hAnsi="宋体" w:eastAsia="宋体"/>
          <w:sz w:val="28"/>
        </w:rPr>
        <w:t xml:space="preserve">投标人须知资料表</w:t>
      </w:r>
      <w:r/>
    </w:p>
    <w:p>
      <w:pPr>
        <w:pStyle w:val="1070"/>
        <w:jc w:val="center"/>
        <w:rPr>
          <w:rFonts w:ascii="宋体" w:hAnsi="宋体"/>
          <w:b/>
          <w:sz w:val="28"/>
          <w:szCs w:val="28"/>
        </w:rPr>
      </w:pPr>
      <w:r>
        <w:rPr>
          <w:rFonts w:ascii="宋体" w:hAnsi="宋体"/>
          <w:b/>
          <w:sz w:val="28"/>
          <w:szCs w:val="28"/>
        </w:rPr>
      </w:r>
      <w:r/>
    </w:p>
    <w:p>
      <w:pPr>
        <w:pStyle w:val="1070"/>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0"/>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0"/>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0"/>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项目属性：</w:t>
            </w:r>
            <w:r/>
          </w:p>
          <w:p>
            <w:pPr>
              <w:pStyle w:val="1070"/>
              <w:jc w:val="left"/>
              <w:rPr>
                <w:rFonts w:hint="eastAsia" w:ascii="宋体" w:hAnsi="宋体" w:cs="宋体"/>
                <w:sz w:val="24"/>
              </w:rPr>
            </w:pPr>
            <w:r>
              <w:rPr>
                <w:rFonts w:hint="eastAsia" w:ascii="宋体" w:hAnsi="宋体" w:cs="宋体"/>
                <w:sz w:val="24"/>
              </w:rPr>
              <w:t xml:space="preserve">□服务</w:t>
            </w:r>
            <w:r/>
          </w:p>
          <w:p>
            <w:pPr>
              <w:pStyle w:val="1070"/>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是否属于科研仪器设备采购项目：</w:t>
            </w:r>
            <w:r/>
          </w:p>
          <w:p>
            <w:pPr>
              <w:pStyle w:val="1070"/>
              <w:jc w:val="left"/>
              <w:rPr>
                <w:rFonts w:hint="eastAsia" w:ascii="宋体" w:hAnsi="宋体" w:cs="宋体"/>
                <w:sz w:val="24"/>
              </w:rPr>
            </w:pPr>
            <w:r>
              <w:rPr>
                <w:rFonts w:hint="eastAsia" w:ascii="宋体" w:hAnsi="宋体" w:cs="宋体"/>
                <w:sz w:val="24"/>
              </w:rPr>
              <w:t xml:space="preserve">□是</w:t>
            </w:r>
            <w:r/>
          </w:p>
          <w:p>
            <w:pPr>
              <w:pStyle w:val="1070"/>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0"/>
              <w:rPr>
                <w:rFonts w:hAnsi="宋体" w:cs="宋体"/>
                <w:sz w:val="24"/>
                <w:szCs w:val="24"/>
              </w:rPr>
            </w:pPr>
            <w:r>
              <w:rPr>
                <w:rFonts w:hAnsi="宋体" w:cs="宋体"/>
                <w:sz w:val="24"/>
                <w:szCs w:val="24"/>
              </w:rPr>
              <w:t xml:space="preserve">□关于核心产品本项目__包不适用。</w:t>
            </w:r>
            <w:r/>
          </w:p>
          <w:p>
            <w:pPr>
              <w:pStyle w:val="1110"/>
              <w:rPr>
                <w:rFonts w:hAnsi="宋体" w:cs="宋体"/>
                <w:sz w:val="24"/>
                <w:szCs w:val="24"/>
              </w:rPr>
            </w:pPr>
            <w:r>
              <w:rPr>
                <w:rFonts w:hAnsi="宋体" w:cs="宋体"/>
                <w:sz w:val="24"/>
              </w:rPr>
              <w:t xml:space="preserve">■</w:t>
            </w:r>
            <w:r>
              <w:rPr>
                <w:rFonts w:hAnsi="宋体" w:cs="宋体"/>
                <w:sz w:val="24"/>
                <w:szCs w:val="24"/>
              </w:rPr>
              <w:t xml:space="preserve">本项目__包为单一产品采购项目。</w:t>
            </w:r>
            <w:r/>
          </w:p>
          <w:p>
            <w:pPr>
              <w:pStyle w:val="1070"/>
              <w:jc w:val="left"/>
              <w:rPr>
                <w:rFonts w:hint="eastAsia" w:ascii="宋体" w:hAnsi="宋体" w:cs="宋体"/>
                <w:sz w:val="24"/>
              </w:rPr>
            </w:pPr>
            <w:r>
              <w:rPr>
                <w:rFonts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0"/>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■不组织</w:t>
            </w:r>
            <w:r/>
          </w:p>
          <w:p>
            <w:pPr>
              <w:pStyle w:val="1070"/>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0"/>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0"/>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■不召开</w:t>
            </w:r>
            <w:r/>
          </w:p>
          <w:p>
            <w:pPr>
              <w:pStyle w:val="1070"/>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投标样品递交：</w:t>
            </w:r>
            <w:r/>
          </w:p>
          <w:p>
            <w:pPr>
              <w:pStyle w:val="1070"/>
              <w:jc w:val="left"/>
              <w:rPr>
                <w:rFonts w:hint="eastAsia" w:ascii="宋体" w:hAnsi="宋体" w:cs="宋体"/>
                <w:sz w:val="24"/>
              </w:rPr>
            </w:pPr>
            <w:r>
              <w:rPr>
                <w:rFonts w:hint="eastAsia" w:ascii="宋体" w:hAnsi="宋体" w:cs="宋体"/>
                <w:sz w:val="24"/>
              </w:rPr>
              <w:t xml:space="preserve">■不需要</w:t>
            </w:r>
            <w:r/>
          </w:p>
          <w:p>
            <w:pPr>
              <w:pStyle w:val="1070"/>
              <w:jc w:val="left"/>
              <w:rPr>
                <w:rFonts w:hint="eastAsia" w:ascii="宋体" w:hAnsi="宋体" w:cs="宋体"/>
                <w:sz w:val="24"/>
              </w:rPr>
            </w:pPr>
            <w:r>
              <w:rPr>
                <w:rFonts w:hint="eastAsia" w:ascii="宋体" w:hAnsi="宋体" w:cs="宋体"/>
                <w:sz w:val="24"/>
              </w:rPr>
              <w:t xml:space="preserve">□需要，具体要求如下：</w:t>
            </w:r>
            <w:r/>
          </w:p>
        </w:tc>
      </w:tr>
      <w:tr>
        <w:trPr>
          <w:trHeight w:val="517"/>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工业。</w:t>
            </w:r>
            <w:r>
              <w:rPr>
                <w:rFonts w:hint="eastAsia" w:ascii="宋体" w:hAnsi="宋体" w:cs="宋体"/>
                <w:sz w:val="24"/>
              </w:rPr>
            </w:r>
            <w:r/>
          </w:p>
        </w:tc>
      </w:tr>
      <w:tr>
        <w:trPr>
          <w:trHeight w:val="841"/>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投标报价的特殊规定：</w:t>
            </w:r>
            <w:r/>
          </w:p>
          <w:p>
            <w:pPr>
              <w:pStyle w:val="1070"/>
              <w:jc w:val="left"/>
              <w:rPr>
                <w:rFonts w:hint="eastAsia" w:ascii="宋体" w:hAnsi="宋体" w:cs="宋体"/>
                <w:sz w:val="24"/>
              </w:rPr>
            </w:pPr>
            <w:r>
              <w:rPr>
                <w:rFonts w:hint="eastAsia" w:ascii="宋体" w:hAnsi="宋体" w:cs="宋体"/>
                <w:sz w:val="24"/>
              </w:rPr>
              <w:t xml:space="preserve">■无</w:t>
            </w:r>
            <w:r/>
          </w:p>
          <w:p>
            <w:pPr>
              <w:pStyle w:val="1070"/>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0"/>
              <w:jc w:val="left"/>
              <w:rPr>
                <w:rFonts w:hint="eastAsia" w:ascii="宋体" w:hAnsi="宋体" w:cs="宋体"/>
                <w:sz w:val="24"/>
              </w:rPr>
            </w:pPr>
            <w:r>
              <w:rPr>
                <w:rFonts w:hint="eastAsia" w:ascii="宋体" w:hAnsi="宋体" w:cs="宋体"/>
                <w:sz w:val="24"/>
              </w:rPr>
              <w:t xml:space="preserve">■不允许</w:t>
            </w:r>
            <w:r/>
          </w:p>
          <w:p>
            <w:pPr>
              <w:pStyle w:val="1070"/>
              <w:jc w:val="left"/>
              <w:rPr>
                <w:rFonts w:hint="eastAsia" w:ascii="宋体" w:hAnsi="宋体" w:cs="宋体"/>
                <w:sz w:val="24"/>
              </w:rPr>
            </w:pPr>
            <w:r>
              <w:rPr>
                <w:rFonts w:hint="eastAsia" w:ascii="宋体" w:hAnsi="宋体" w:cs="宋体"/>
                <w:sz w:val="24"/>
              </w:rPr>
              <w:t xml:space="preserve">□允许，具体要求：</w:t>
            </w:r>
            <w:r/>
          </w:p>
          <w:p>
            <w:pPr>
              <w:pStyle w:val="1070"/>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0"/>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ascii="宋体" w:hAnsi="宋体" w:cs="宋体"/>
                <w:b/>
                <w:sz w:val="24"/>
              </w:rPr>
              <w:t xml:space="preserve">01</w:t>
            </w:r>
            <w:r>
              <w:rPr>
                <w:rFonts w:hint="eastAsia" w:ascii="宋体" w:hAnsi="宋体" w:cs="宋体"/>
                <w:b/>
                <w:sz w:val="24"/>
              </w:rPr>
              <w:t xml:space="preserve">月</w:t>
            </w:r>
            <w:r>
              <w:rPr>
                <w:rFonts w:ascii="宋体" w:hAnsi="宋体" w:cs="宋体"/>
                <w:b/>
                <w:sz w:val="24"/>
              </w:rPr>
              <w:t xml:space="preserve">0</w:t>
            </w:r>
            <w:r>
              <w:rPr>
                <w:rFonts w:ascii="宋体" w:hAnsi="宋体" w:cs="宋体"/>
                <w:b/>
                <w:sz w:val="24"/>
              </w:rPr>
              <w:t xml:space="preserve">4</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0"/>
              <w:jc w:val="left"/>
              <w:rPr>
                <w:rFonts w:hint="eastAsia" w:ascii="宋体" w:hAnsi="宋体" w:cs="宋体"/>
                <w:sz w:val="24"/>
              </w:rPr>
            </w:pPr>
            <w:r>
              <w:rPr>
                <w:rFonts w:hint="eastAsia" w:ascii="宋体" w:hAnsi="宋体" w:cs="宋体"/>
                <w:sz w:val="24"/>
              </w:rPr>
              <w:t xml:space="preserve">接收询问和质疑的联系方式</w:t>
            </w:r>
            <w:r/>
          </w:p>
          <w:p>
            <w:pPr>
              <w:pStyle w:val="1070"/>
              <w:jc w:val="left"/>
              <w:rPr>
                <w:rFonts w:hint="eastAsia" w:ascii="宋体" w:hAnsi="宋体" w:cs="宋体"/>
                <w:sz w:val="24"/>
              </w:rPr>
            </w:pPr>
            <w:r>
              <w:rPr>
                <w:rFonts w:hint="eastAsia" w:ascii="宋体" w:hAnsi="宋体" w:cs="宋体"/>
                <w:sz w:val="24"/>
              </w:rPr>
              <w:t xml:space="preserve">联系部门：技术部；</w:t>
            </w:r>
            <w:r/>
          </w:p>
          <w:p>
            <w:pPr>
              <w:pStyle w:val="1070"/>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0"/>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jc w:val="left"/>
              <w:rPr>
                <w:rFonts w:hint="eastAsia" w:ascii="宋体" w:hAnsi="宋体" w:cs="宋体"/>
                <w:b/>
                <w:sz w:val="24"/>
              </w:rPr>
            </w:pPr>
            <w:r>
              <w:rPr>
                <w:rFonts w:hint="eastAsia" w:ascii="宋体" w:hAnsi="宋体" w:cs="宋体"/>
                <w:b/>
                <w:sz w:val="24"/>
              </w:rPr>
              <w:t xml:space="preserve">（一）收费对象：</w:t>
            </w:r>
            <w:r/>
          </w:p>
          <w:p>
            <w:pPr>
              <w:pStyle w:val="1070"/>
              <w:jc w:val="left"/>
              <w:rPr>
                <w:rFonts w:hint="eastAsia" w:ascii="宋体" w:hAnsi="宋体" w:cs="宋体"/>
                <w:sz w:val="24"/>
              </w:rPr>
            </w:pPr>
            <w:r>
              <w:rPr>
                <w:rFonts w:hint="eastAsia" w:ascii="宋体" w:hAnsi="宋体" w:cs="宋体"/>
                <w:sz w:val="24"/>
              </w:rPr>
              <w:t xml:space="preserve">□采购人</w:t>
            </w:r>
            <w:r/>
          </w:p>
          <w:p>
            <w:pPr>
              <w:pStyle w:val="1070"/>
              <w:jc w:val="left"/>
              <w:rPr>
                <w:rFonts w:hint="eastAsia" w:ascii="宋体" w:hAnsi="宋体" w:cs="宋体"/>
                <w:sz w:val="24"/>
              </w:rPr>
            </w:pPr>
            <w:r>
              <w:rPr>
                <w:rFonts w:hint="eastAsia" w:ascii="宋体" w:hAnsi="宋体" w:cs="宋体"/>
                <w:sz w:val="24"/>
              </w:rPr>
              <w:t xml:space="preserve">■中标人</w:t>
            </w:r>
            <w:r/>
          </w:p>
          <w:p>
            <w:pPr>
              <w:pStyle w:val="1070"/>
              <w:jc w:val="left"/>
              <w:rPr>
                <w:rFonts w:hint="eastAsia" w:ascii="宋体" w:hAnsi="宋体" w:cs="宋体"/>
                <w:b/>
                <w:sz w:val="24"/>
              </w:rPr>
            </w:pPr>
            <w:r>
              <w:rPr>
                <w:rFonts w:hint="eastAsia" w:ascii="宋体" w:hAnsi="宋体" w:cs="宋体"/>
                <w:b/>
                <w:sz w:val="24"/>
              </w:rPr>
              <w:t xml:space="preserve">（二）收费标准：</w:t>
            </w:r>
            <w:r/>
          </w:p>
          <w:p>
            <w:pPr>
              <w:pStyle w:val="1070"/>
              <w:ind w:firstLine="480"/>
              <w:jc w:val="left"/>
              <w:rPr>
                <w:rFonts w:hint="eastAsia" w:ascii="宋体" w:hAnsi="宋体" w:cs="宋体"/>
                <w:sz w:val="24"/>
              </w:rPr>
            </w:pPr>
            <w:r>
              <w:rPr>
                <w:rFonts w:hint="eastAsia" w:ascii="宋体" w:hAnsi="宋体" w:cs="宋体"/>
                <w:sz w:val="24"/>
              </w:rPr>
              <w:t xml:space="preserve">成交供应商须按其成交金额的0.8%计算并支付代理费，不足人民币3000元的，按人民币3000元收取。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0"/>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sz w:val="24"/>
              </w:rPr>
              <w:t xml:space="preserve">中标人应在领取中标通知书时将代理费支付至常州市城投建设工程招标有限公司账户。</w:t>
            </w:r>
            <w:r/>
          </w:p>
          <w:p>
            <w:pPr>
              <w:pStyle w:val="1070"/>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0"/>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0"/>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0"/>
              <w:jc w:val="center"/>
              <w:rPr>
                <w:rFonts w:hAnsi="宋体" w:cs="宋体"/>
                <w:sz w:val="24"/>
                <w:szCs w:val="24"/>
              </w:rPr>
            </w:pPr>
            <w:r>
              <w:rPr>
                <w:rFonts w:hAnsi="宋体"/>
                <w:sz w:val="24"/>
                <w:szCs w:val="24"/>
              </w:rPr>
              <w:t xml:space="preserve">2</w:t>
            </w:r>
            <w:r>
              <w:rPr>
                <w:rFonts w:hAnsi="宋体"/>
                <w:sz w:val="24"/>
                <w:szCs w:val="24"/>
              </w:rPr>
              <w:t xml:space="preserve">6</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0"/>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0"/>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0"/>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0"/>
        <w:jc w:val="center"/>
        <w:spacing w:before="240" w:after="240"/>
        <w:rPr>
          <w:rFonts w:hint="eastAsia" w:ascii="宋体" w:hAnsi="宋体" w:cs="宋体"/>
          <w:b/>
          <w:sz w:val="28"/>
          <w:szCs w:val="28"/>
        </w:rPr>
      </w:pPr>
      <w:r/>
      <w:bookmarkStart w:id="75" w:name="_Toc127151517"/>
      <w:r/>
      <w:bookmarkStart w:id="76" w:name="_Toc226337213"/>
      <w:r/>
      <w:bookmarkStart w:id="77" w:name="_Toc264969207"/>
      <w:r/>
      <w:bookmarkStart w:id="78" w:name="_Toc353825542"/>
      <w:r/>
      <w:bookmarkStart w:id="79" w:name="_Toc305158859"/>
      <w:r/>
      <w:bookmarkStart w:id="80" w:name="_Toc150480755"/>
      <w:r/>
      <w:bookmarkStart w:id="81" w:name="_Toc142311019"/>
      <w:r/>
      <w:bookmarkStart w:id="82" w:name="_Toc305158785"/>
      <w:r/>
      <w:bookmarkStart w:id="83" w:name="_Toc265228355"/>
      <w:r/>
      <w:bookmarkStart w:id="84" w:name="_Toc150774722"/>
      <w:r/>
      <w:bookmarkStart w:id="85" w:name="_Toc195842882"/>
      <w:r/>
      <w:bookmarkStart w:id="86" w:name="_Toc353873662"/>
      <w:r/>
      <w:bookmarkStart w:id="87" w:name="_Toc226965790"/>
      <w:r/>
      <w:bookmarkStart w:id="88" w:name="_Toc35387393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2"/>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688"/>
      <w:r/>
      <w:bookmarkStart w:id="92" w:name="_Toc226309762"/>
      <w:r/>
      <w:bookmarkStart w:id="93" w:name="_Toc150480756"/>
      <w:r/>
      <w:bookmarkStart w:id="94" w:name="_Toc151190145"/>
      <w:r/>
      <w:bookmarkStart w:id="95" w:name="_Toc226965791"/>
      <w:r/>
      <w:bookmarkStart w:id="96" w:name="_Toc226337214"/>
      <w:r/>
      <w:bookmarkStart w:id="97" w:name="_Toc226965708"/>
      <w:r/>
      <w:bookmarkStart w:id="98" w:name="_Toc151193616"/>
      <w:r/>
      <w:bookmarkStart w:id="99" w:name="_Toc264969208"/>
      <w:r/>
      <w:bookmarkStart w:id="100" w:name="_Toc305158786"/>
      <w:r/>
      <w:bookmarkStart w:id="101" w:name="_Toc305158860"/>
      <w:r/>
      <w:bookmarkStart w:id="102" w:name="_Toc151193832"/>
      <w:r/>
      <w:bookmarkStart w:id="103" w:name="_Toc150774723"/>
      <w:r/>
      <w:bookmarkStart w:id="104" w:name="_Toc151193760"/>
      <w:r/>
      <w:bookmarkStart w:id="105" w:name="_Toc150774618"/>
      <w:r/>
      <w:bookmarkStart w:id="106" w:name="_Toc150509269"/>
      <w:r/>
      <w:bookmarkStart w:id="107" w:name="_Toc142311020"/>
      <w:r/>
      <w:bookmarkStart w:id="108" w:name="_Toc265228356"/>
      <w:r/>
      <w:bookmarkStart w:id="109" w:name="_Toc151193906"/>
      <w:r/>
      <w:bookmarkStart w:id="110" w:name="_Toc195842883"/>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265228357"/>
      <w:r/>
      <w:bookmarkStart w:id="114" w:name="_Toc305158861"/>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618"/>
      <w:r/>
      <w:bookmarkStart w:id="116" w:name="_Toc164351614"/>
      <w:r/>
      <w:bookmarkStart w:id="117" w:name="_Toc151193690"/>
      <w:r/>
      <w:bookmarkStart w:id="118" w:name="_Toc264969210"/>
      <w:r/>
      <w:bookmarkStart w:id="119" w:name="_Toc226337216"/>
      <w:r/>
      <w:bookmarkStart w:id="120" w:name="_Toc195842885"/>
      <w:r/>
      <w:bookmarkStart w:id="121" w:name="_Toc226965710"/>
      <w:r/>
      <w:bookmarkStart w:id="122" w:name="_Toc127151520"/>
      <w:r/>
      <w:bookmarkStart w:id="123" w:name="_Toc127161434"/>
      <w:r/>
      <w:bookmarkStart w:id="124" w:name="_Toc164229215"/>
      <w:r/>
      <w:bookmarkStart w:id="125" w:name="_Toc151193834"/>
      <w:r/>
      <w:bookmarkStart w:id="126" w:name="_Toc226965793"/>
      <w:r/>
      <w:bookmarkStart w:id="127" w:name="_Toc142311022"/>
      <w:r/>
      <w:bookmarkStart w:id="128" w:name="_Toc150774725"/>
      <w:r/>
      <w:bookmarkStart w:id="129" w:name="_Toc150480758"/>
      <w:r/>
      <w:bookmarkStart w:id="130" w:name="_Toc265228358"/>
      <w:r/>
      <w:bookmarkStart w:id="131" w:name="_Toc164608634"/>
      <w:r/>
      <w:bookmarkStart w:id="132" w:name="_Toc151193762"/>
      <w:r/>
      <w:bookmarkStart w:id="133" w:name="_Toc150509271"/>
      <w:r/>
      <w:bookmarkStart w:id="134" w:name="_Toc127151721"/>
      <w:r/>
      <w:bookmarkStart w:id="135" w:name="_Toc151190147"/>
      <w:r/>
      <w:bookmarkStart w:id="136" w:name="_Toc226309764"/>
      <w:r/>
      <w:bookmarkStart w:id="137" w:name="_Toc305158788"/>
      <w:r/>
      <w:bookmarkStart w:id="138" w:name="_Toc150774620"/>
      <w:r/>
      <w:bookmarkStart w:id="139" w:name="_Toc305158862"/>
      <w:r/>
      <w:bookmarkStart w:id="140" w:name="_Toc164608789"/>
      <w:r/>
      <w:bookmarkStart w:id="141" w:name="_Toc164229361"/>
      <w:r/>
      <w:bookmarkStart w:id="142" w:name="_Toc151193908"/>
      <w:r/>
      <w:bookmarkStart w:id="143" w:name="_Toc149720813"/>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0"/>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27151522"/>
      <w:r/>
      <w:bookmarkStart w:id="145" w:name="_Toc520356146"/>
      <w:r/>
      <w:bookmarkStart w:id="146" w:name="_Toc150774622"/>
      <w:r/>
      <w:bookmarkStart w:id="147" w:name="_Toc151193910"/>
      <w:r/>
      <w:bookmarkStart w:id="148" w:name="_Toc305158864"/>
      <w:r/>
      <w:bookmarkStart w:id="149" w:name="_Toc265228360"/>
      <w:r/>
      <w:bookmarkStart w:id="150" w:name="_Toc226965712"/>
      <w:r/>
      <w:bookmarkStart w:id="151" w:name="_Toc195842887"/>
      <w:r/>
      <w:bookmarkStart w:id="152" w:name="_Toc305158790"/>
      <w:r/>
      <w:bookmarkStart w:id="153" w:name="_Toc264969212"/>
      <w:r/>
      <w:bookmarkStart w:id="154" w:name="_Toc150774727"/>
      <w:r/>
      <w:bookmarkStart w:id="155" w:name="_Toc150480760"/>
      <w:r/>
      <w:bookmarkStart w:id="156" w:name="_Toc151190149"/>
      <w:r/>
      <w:bookmarkStart w:id="157" w:name="_Toc151193692"/>
      <w:r/>
      <w:bookmarkStart w:id="158" w:name="_Toc150509273"/>
      <w:r/>
      <w:bookmarkStart w:id="159" w:name="_Toc142311024"/>
      <w:r/>
      <w:bookmarkStart w:id="160" w:name="_Toc226965795"/>
      <w:r/>
      <w:bookmarkStart w:id="161" w:name="_Toc151193836"/>
      <w:r/>
      <w:bookmarkStart w:id="162" w:name="_Toc226309766"/>
      <w:r/>
      <w:bookmarkStart w:id="163" w:name="_Toc226337218"/>
      <w:r/>
      <w:bookmarkStart w:id="164" w:name="_Toc151193764"/>
      <w:r/>
      <w:bookmarkStart w:id="165" w:name="_Toc151193620"/>
      <w:r>
        <w:rPr>
          <w:rFonts w:hint="eastAsia" w:ascii="宋体" w:hAnsi="宋体" w:cs="宋体"/>
          <w:sz w:val="28"/>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0"/>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0"/>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0"/>
        <w:numPr>
          <w:ilvl w:val="2"/>
          <w:numId w:val="8"/>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0"/>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0"/>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0"/>
        <w:numPr>
          <w:ilvl w:val="2"/>
          <w:numId w:val="8"/>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5"/>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5"/>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0"/>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0"/>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0"/>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0"/>
        <w:numPr>
          <w:ilvl w:val="1"/>
          <w:numId w:val="8"/>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0"/>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0"/>
        <w:numPr>
          <w:ilvl w:val="2"/>
          <w:numId w:val="8"/>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0"/>
        <w:ind w:firstLine="480"/>
        <w:spacing w:line="360" w:lineRule="auto"/>
        <w:rPr>
          <w:rFonts w:hint="eastAsia" w:ascii="宋体" w:hAnsi="宋体" w:cs="宋体"/>
          <w:b/>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s="宋体"/>
          <w:b/>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0"/>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151193765"/>
      <w:r/>
      <w:bookmarkStart w:id="168" w:name="_Toc150774623"/>
      <w:r/>
      <w:bookmarkStart w:id="169" w:name="_Toc151193837"/>
      <w:r/>
      <w:bookmarkStart w:id="170" w:name="_Toc164608637"/>
      <w:r/>
      <w:bookmarkStart w:id="171" w:name="_Toc195842888"/>
      <w:r/>
      <w:bookmarkStart w:id="172" w:name="_Toc305158791"/>
      <w:r/>
      <w:bookmarkStart w:id="173" w:name="_Toc265228361"/>
      <w:r/>
      <w:bookmarkStart w:id="174" w:name="_Toc226965713"/>
      <w:r/>
      <w:bookmarkStart w:id="175" w:name="_Toc164351617"/>
      <w:r/>
      <w:bookmarkStart w:id="176" w:name="_Toc151193911"/>
      <w:r/>
      <w:bookmarkStart w:id="177" w:name="_Toc127151523"/>
      <w:r/>
      <w:bookmarkStart w:id="178" w:name="_Toc226337219"/>
      <w:r/>
      <w:bookmarkStart w:id="179" w:name="_Toc142311025"/>
      <w:r/>
      <w:bookmarkStart w:id="180" w:name="_Toc150509274"/>
      <w:r/>
      <w:bookmarkStart w:id="181" w:name="_Toc520356147"/>
      <w:r/>
      <w:bookmarkStart w:id="182" w:name="_Toc164229364"/>
      <w:r/>
      <w:bookmarkStart w:id="183" w:name="_Toc151190150"/>
      <w:r/>
      <w:bookmarkStart w:id="184" w:name="_Toc150480761"/>
      <w:r/>
      <w:bookmarkStart w:id="185" w:name="_Toc164229218"/>
      <w:r/>
      <w:bookmarkStart w:id="186" w:name="_Toc127161437"/>
      <w:r/>
      <w:bookmarkStart w:id="187" w:name="_Toc305158865"/>
      <w:r/>
      <w:bookmarkStart w:id="188" w:name="_Toc264969213"/>
      <w:r/>
      <w:bookmarkStart w:id="189" w:name="_Toc149720816"/>
      <w:r/>
      <w:bookmarkStart w:id="190" w:name="_Toc150774728"/>
      <w:r/>
      <w:bookmarkStart w:id="191" w:name="_Toc151193621"/>
      <w:r/>
      <w:bookmarkStart w:id="192" w:name="_Toc226965796"/>
      <w:r/>
      <w:bookmarkStart w:id="193" w:name="_Toc164608792"/>
      <w:r/>
      <w:bookmarkStart w:id="194" w:name="_Toc226309767"/>
      <w:r/>
      <w:bookmarkStart w:id="195" w:name="_Toc151193693"/>
      <w:r/>
      <w:bookmarkStart w:id="196" w:name="_Toc127151724"/>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0"/>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0"/>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2"/>
        <w:ind w:firstLine="562"/>
        <w:spacing w:before="0" w:line="360" w:lineRule="auto"/>
        <w:rPr>
          <w:rFonts w:hint="eastAsia" w:ascii="宋体" w:hAnsi="宋体" w:eastAsia="宋体" w:cs="宋体"/>
          <w:sz w:val="28"/>
        </w:rPr>
      </w:pPr>
      <w:r/>
      <w:bookmarkStart w:id="197" w:name="_Toc305158794"/>
      <w:r/>
      <w:bookmarkStart w:id="198" w:name="_Toc150480764"/>
      <w:r/>
      <w:bookmarkStart w:id="199" w:name="_Toc150509277"/>
      <w:r/>
      <w:bookmarkStart w:id="200" w:name="_Toc150774626"/>
      <w:r/>
      <w:bookmarkStart w:id="201" w:name="_Toc226337222"/>
      <w:r/>
      <w:bookmarkStart w:id="202" w:name="_Toc151193914"/>
      <w:r/>
      <w:bookmarkStart w:id="203" w:name="_Toc151193840"/>
      <w:r/>
      <w:bookmarkStart w:id="204" w:name="_Toc226965799"/>
      <w:r/>
      <w:bookmarkStart w:id="205" w:name="_Toc226309770"/>
      <w:r/>
      <w:bookmarkStart w:id="206" w:name="_Toc305158868"/>
      <w:r/>
      <w:bookmarkStart w:id="207" w:name="_Toc151193768"/>
      <w:r/>
      <w:bookmarkStart w:id="208" w:name="_Toc520356150"/>
      <w:r/>
      <w:bookmarkStart w:id="209" w:name="_Toc150774731"/>
      <w:r/>
      <w:bookmarkStart w:id="210" w:name="_Toc516367020"/>
      <w:r/>
      <w:bookmarkStart w:id="211" w:name="_Toc142311028"/>
      <w:r/>
      <w:bookmarkStart w:id="212" w:name="_Toc264969216"/>
      <w:r/>
      <w:bookmarkStart w:id="213" w:name="_Toc151193696"/>
      <w:r/>
      <w:bookmarkStart w:id="214" w:name="_Toc151193624"/>
      <w:r/>
      <w:bookmarkStart w:id="215" w:name="_Toc226965716"/>
      <w:r/>
      <w:bookmarkStart w:id="216" w:name="_Toc265228364"/>
      <w:r/>
      <w:bookmarkStart w:id="217" w:name="_Toc127151526"/>
      <w:r/>
      <w:bookmarkStart w:id="218" w:name="_Toc195842891"/>
      <w:r/>
      <w:bookmarkStart w:id="219" w:name="_Toc151190153"/>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305158869"/>
      <w:r/>
      <w:bookmarkStart w:id="221" w:name="_Toc149720820"/>
      <w:r/>
      <w:bookmarkStart w:id="222" w:name="_Toc164608796"/>
      <w:r/>
      <w:bookmarkStart w:id="223" w:name="_Toc151193841"/>
      <w:r/>
      <w:bookmarkStart w:id="224" w:name="_Toc164229368"/>
      <w:r/>
      <w:bookmarkStart w:id="225" w:name="_Toc226965800"/>
      <w:r/>
      <w:bookmarkStart w:id="226" w:name="_Toc151193625"/>
      <w:r/>
      <w:bookmarkStart w:id="227" w:name="_Toc151193769"/>
      <w:r/>
      <w:bookmarkStart w:id="228" w:name="_Toc264969217"/>
      <w:r/>
      <w:bookmarkStart w:id="229" w:name="_Toc516367021"/>
      <w:r/>
      <w:bookmarkStart w:id="230" w:name="_Toc150774627"/>
      <w:r/>
      <w:bookmarkStart w:id="231" w:name="_Toc150509278"/>
      <w:r/>
      <w:bookmarkStart w:id="232" w:name="_Toc226337223"/>
      <w:r/>
      <w:bookmarkStart w:id="233" w:name="_Toc127151527"/>
      <w:r/>
      <w:bookmarkStart w:id="234" w:name="_Toc164229222"/>
      <w:r/>
      <w:bookmarkStart w:id="235" w:name="_Toc226309771"/>
      <w:r/>
      <w:bookmarkStart w:id="236" w:name="_Toc142311029"/>
      <w:r/>
      <w:bookmarkStart w:id="237" w:name="_Toc226965717"/>
      <w:r/>
      <w:bookmarkStart w:id="238" w:name="_Toc305158795"/>
      <w:r/>
      <w:bookmarkStart w:id="239" w:name="_Toc164351621"/>
      <w:r/>
      <w:bookmarkStart w:id="240" w:name="_Toc164608641"/>
      <w:r/>
      <w:bookmarkStart w:id="241" w:name="_Toc265228365"/>
      <w:r/>
      <w:bookmarkStart w:id="242" w:name="_Toc195842892"/>
      <w:r/>
      <w:bookmarkStart w:id="243" w:name="_Toc127151728"/>
      <w:r/>
      <w:bookmarkStart w:id="244" w:name="_Toc127161441"/>
      <w:r/>
      <w:bookmarkStart w:id="245" w:name="_Toc151193915"/>
      <w:r/>
      <w:bookmarkStart w:id="246" w:name="_Toc520356151"/>
      <w:r/>
      <w:bookmarkStart w:id="247" w:name="_Toc151190154"/>
      <w:r/>
      <w:bookmarkStart w:id="248" w:name="_Toc151193697"/>
      <w:r/>
      <w:bookmarkStart w:id="249" w:name="_Toc150480765"/>
      <w:r/>
      <w:bookmarkStart w:id="250" w:name="_Toc150774732"/>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226337224"/>
      <w:r/>
      <w:bookmarkStart w:id="252" w:name="_Toc305158870"/>
      <w:r/>
      <w:bookmarkStart w:id="253" w:name="_Toc520356152"/>
      <w:r/>
      <w:bookmarkStart w:id="254" w:name="_Toc151193842"/>
      <w:r/>
      <w:bookmarkStart w:id="255" w:name="_Toc305158796"/>
      <w:r/>
      <w:bookmarkStart w:id="256" w:name="_Toc127151729"/>
      <w:r/>
      <w:bookmarkStart w:id="257" w:name="_Toc151193770"/>
      <w:r/>
      <w:bookmarkStart w:id="258" w:name="_Ref467306195"/>
      <w:r/>
      <w:bookmarkStart w:id="259" w:name="_Ref467306676"/>
      <w:r/>
      <w:bookmarkStart w:id="260" w:name="_Toc516367022"/>
      <w:r/>
      <w:bookmarkStart w:id="261" w:name="_Toc226965718"/>
      <w:r/>
      <w:bookmarkStart w:id="262" w:name="_Toc150509279"/>
      <w:r/>
      <w:bookmarkStart w:id="263" w:name="_Toc164608797"/>
      <w:r/>
      <w:bookmarkStart w:id="264" w:name="_Toc195842893"/>
      <w:r/>
      <w:bookmarkStart w:id="265" w:name="_Toc164351622"/>
      <w:r/>
      <w:bookmarkStart w:id="266" w:name="_Toc150774733"/>
      <w:r/>
      <w:bookmarkStart w:id="267" w:name="_Toc151190155"/>
      <w:r/>
      <w:bookmarkStart w:id="268" w:name="_Toc226965801"/>
      <w:r/>
      <w:bookmarkStart w:id="269" w:name="_Toc164229369"/>
      <w:r/>
      <w:bookmarkStart w:id="270" w:name="_Toc264969218"/>
      <w:r/>
      <w:bookmarkStart w:id="271" w:name="_Toc127161442"/>
      <w:r/>
      <w:bookmarkStart w:id="272" w:name="_Toc149720821"/>
      <w:r/>
      <w:bookmarkStart w:id="273" w:name="_Toc142311030"/>
      <w:r/>
      <w:bookmarkStart w:id="274" w:name="_Toc265228366"/>
      <w:r/>
      <w:bookmarkStart w:id="275" w:name="_Toc151193698"/>
      <w:r/>
      <w:bookmarkStart w:id="276" w:name="_Toc151193916"/>
      <w:r/>
      <w:bookmarkStart w:id="277" w:name="_Toc164229223"/>
      <w:r/>
      <w:bookmarkStart w:id="278" w:name="_Toc127151528"/>
      <w:r/>
      <w:bookmarkStart w:id="279" w:name="_Toc150774628"/>
      <w:r/>
      <w:bookmarkStart w:id="280" w:name="_Toc226309772"/>
      <w:r/>
      <w:bookmarkStart w:id="281" w:name="_Toc150480766"/>
      <w:r/>
      <w:bookmarkStart w:id="282" w:name="_Toc151193626"/>
      <w:r/>
      <w:bookmarkStart w:id="283" w:name="_Toc16460864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51193918"/>
      <w:r/>
      <w:bookmarkStart w:id="286" w:name="_Toc520356155"/>
      <w:r/>
      <w:bookmarkStart w:id="287" w:name="_Toc127151530"/>
      <w:r/>
      <w:bookmarkStart w:id="288" w:name="_Toc151190157"/>
      <w:r/>
      <w:bookmarkStart w:id="289" w:name="_Toc127161444"/>
      <w:r/>
      <w:bookmarkStart w:id="290" w:name="_Toc151193628"/>
      <w:r/>
      <w:bookmarkStart w:id="291" w:name="_Toc164608799"/>
      <w:r/>
      <w:bookmarkStart w:id="292" w:name="_Toc150774630"/>
      <w:r/>
      <w:bookmarkStart w:id="293" w:name="_Toc164608644"/>
      <w:r/>
      <w:bookmarkStart w:id="294" w:name="_Toc151193700"/>
      <w:r/>
      <w:bookmarkStart w:id="295" w:name="_Toc127151731"/>
      <w:r/>
      <w:bookmarkStart w:id="296" w:name="_Toc151193844"/>
      <w:r/>
      <w:bookmarkStart w:id="297" w:name="_Toc150509281"/>
      <w:r/>
      <w:bookmarkStart w:id="298" w:name="_Toc164229225"/>
      <w:r/>
      <w:bookmarkStart w:id="299" w:name="_Toc149720823"/>
      <w:r/>
      <w:bookmarkStart w:id="300" w:name="_Toc150774735"/>
      <w:r/>
      <w:bookmarkStart w:id="301" w:name="_Toc142311032"/>
      <w:r/>
      <w:bookmarkStart w:id="302" w:name="_Toc195842895"/>
      <w:r/>
      <w:bookmarkStart w:id="303" w:name="_Toc164351624"/>
      <w:r/>
      <w:bookmarkStart w:id="304" w:name="_Toc151193772"/>
      <w:r/>
      <w:bookmarkStart w:id="305" w:name="_Toc164229371"/>
      <w:r/>
      <w:bookmarkStart w:id="306" w:name="_Toc15048076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151193701"/>
      <w:r/>
      <w:bookmarkStart w:id="308" w:name="_Toc265228369"/>
      <w:r/>
      <w:bookmarkStart w:id="309" w:name="_Toc127161445"/>
      <w:r/>
      <w:bookmarkStart w:id="310" w:name="_Toc226965804"/>
      <w:r/>
      <w:bookmarkStart w:id="311" w:name="_Toc226965721"/>
      <w:r/>
      <w:bookmarkStart w:id="312" w:name="_Toc305158873"/>
      <w:r/>
      <w:bookmarkStart w:id="313" w:name="_Toc151193845"/>
      <w:r/>
      <w:bookmarkStart w:id="314" w:name="_Toc127151732"/>
      <w:r/>
      <w:bookmarkStart w:id="315" w:name="_Toc164351625"/>
      <w:r/>
      <w:bookmarkStart w:id="316" w:name="_Toc195842896"/>
      <w:r/>
      <w:bookmarkStart w:id="317" w:name="_Toc520356156"/>
      <w:r/>
      <w:bookmarkStart w:id="318" w:name="_Toc150509282"/>
      <w:r/>
      <w:bookmarkStart w:id="319" w:name="_Toc151193919"/>
      <w:r/>
      <w:bookmarkStart w:id="320" w:name="_Toc149720824"/>
      <w:r/>
      <w:bookmarkStart w:id="321" w:name="_Toc226309775"/>
      <w:r/>
      <w:bookmarkStart w:id="322" w:name="_Toc164229226"/>
      <w:r/>
      <w:bookmarkStart w:id="323" w:name="_Toc264969221"/>
      <w:r/>
      <w:bookmarkStart w:id="324" w:name="_Toc164608800"/>
      <w:r/>
      <w:bookmarkStart w:id="325" w:name="_Toc226337227"/>
      <w:r/>
      <w:bookmarkStart w:id="326" w:name="_Ref467306513"/>
      <w:r/>
      <w:bookmarkStart w:id="327" w:name="_Toc127151531"/>
      <w:r/>
      <w:bookmarkStart w:id="328" w:name="_Toc305158799"/>
      <w:r/>
      <w:bookmarkStart w:id="329" w:name="_Toc151190158"/>
      <w:r/>
      <w:bookmarkStart w:id="330" w:name="_Toc151193629"/>
      <w:r/>
      <w:bookmarkStart w:id="331" w:name="_Toc164608645"/>
      <w:r/>
      <w:bookmarkStart w:id="332" w:name="_Toc164229372"/>
      <w:r/>
      <w:bookmarkStart w:id="333" w:name="_Toc150480769"/>
      <w:r/>
      <w:bookmarkStart w:id="334" w:name="_Toc150774631"/>
      <w:r/>
      <w:bookmarkStart w:id="335" w:name="_Toc142311033"/>
      <w:r/>
      <w:bookmarkStart w:id="336" w:name="_Toc151193773"/>
      <w:r/>
      <w:bookmarkStart w:id="337" w:name="_Toc15077473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0"/>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520356157"/>
      <w:r/>
      <w:bookmarkStart w:id="339" w:name="_Toc150774737"/>
      <w:r/>
      <w:bookmarkStart w:id="340" w:name="_Toc195842897"/>
      <w:r/>
      <w:bookmarkStart w:id="341" w:name="_Toc151193774"/>
      <w:r/>
      <w:bookmarkStart w:id="342" w:name="_Toc127161446"/>
      <w:r/>
      <w:bookmarkStart w:id="343" w:name="_Toc226309776"/>
      <w:r/>
      <w:bookmarkStart w:id="344" w:name="_Toc151193702"/>
      <w:r/>
      <w:bookmarkStart w:id="345" w:name="_Toc226337228"/>
      <w:r/>
      <w:bookmarkStart w:id="346" w:name="_Toc151190159"/>
      <w:r/>
      <w:bookmarkStart w:id="347" w:name="_Toc265228370"/>
      <w:r/>
      <w:bookmarkStart w:id="348" w:name="_Toc164229227"/>
      <w:r/>
      <w:bookmarkStart w:id="349" w:name="_Toc305158800"/>
      <w:r/>
      <w:bookmarkStart w:id="350" w:name="_Toc226965722"/>
      <w:r/>
      <w:bookmarkStart w:id="351" w:name="_Toc127151532"/>
      <w:r/>
      <w:bookmarkStart w:id="352" w:name="_Toc305158874"/>
      <w:r/>
      <w:bookmarkStart w:id="353" w:name="_Toc142311034"/>
      <w:r/>
      <w:bookmarkStart w:id="354" w:name="_Toc151193846"/>
      <w:r/>
      <w:bookmarkStart w:id="355" w:name="_Toc150480770"/>
      <w:r/>
      <w:bookmarkStart w:id="356" w:name="_Toc164608801"/>
      <w:r/>
      <w:bookmarkStart w:id="357" w:name="_Toc127151733"/>
      <w:r/>
      <w:bookmarkStart w:id="358" w:name="_Toc150509283"/>
      <w:r/>
      <w:bookmarkStart w:id="359" w:name="_Toc226965805"/>
      <w:r/>
      <w:bookmarkStart w:id="360" w:name="_Toc151193920"/>
      <w:r/>
      <w:bookmarkStart w:id="361" w:name="_Toc150774632"/>
      <w:r/>
      <w:bookmarkStart w:id="362" w:name="_Toc151193630"/>
      <w:r/>
      <w:bookmarkStart w:id="363" w:name="_Toc164608646"/>
      <w:r/>
      <w:bookmarkStart w:id="364" w:name="_Toc264969222"/>
      <w:r/>
      <w:bookmarkStart w:id="365" w:name="_Toc164229373"/>
      <w:r/>
      <w:bookmarkStart w:id="366" w:name="_Toc164351626"/>
      <w:r/>
      <w:bookmarkStart w:id="367" w:name="_Toc149720825"/>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27161447"/>
      <w:r/>
      <w:bookmarkStart w:id="369" w:name="_Toc226337229"/>
      <w:r/>
      <w:bookmarkStart w:id="370" w:name="_Toc305158875"/>
      <w:r/>
      <w:bookmarkStart w:id="371" w:name="_Toc149720826"/>
      <w:r/>
      <w:bookmarkStart w:id="372" w:name="_Toc150774633"/>
      <w:r/>
      <w:bookmarkStart w:id="373" w:name="_Toc164608647"/>
      <w:r/>
      <w:bookmarkStart w:id="374" w:name="_Toc520356158"/>
      <w:r/>
      <w:bookmarkStart w:id="375" w:name="_Toc226965806"/>
      <w:r/>
      <w:bookmarkStart w:id="376" w:name="_Toc164229228"/>
      <w:r/>
      <w:bookmarkStart w:id="377" w:name="_Toc264969223"/>
      <w:r/>
      <w:bookmarkStart w:id="378" w:name="_Toc151193775"/>
      <w:r/>
      <w:bookmarkStart w:id="379" w:name="_Toc151193921"/>
      <w:r/>
      <w:bookmarkStart w:id="380" w:name="_Toc151193703"/>
      <w:r/>
      <w:bookmarkStart w:id="381" w:name="_Toc150774738"/>
      <w:r/>
      <w:bookmarkStart w:id="382" w:name="_Toc226309777"/>
      <w:r/>
      <w:bookmarkStart w:id="383" w:name="_Toc127151734"/>
      <w:r/>
      <w:bookmarkStart w:id="384" w:name="_Toc305158801"/>
      <w:r/>
      <w:bookmarkStart w:id="385" w:name="_Toc265228371"/>
      <w:r/>
      <w:bookmarkStart w:id="386" w:name="_Toc142311035"/>
      <w:r/>
      <w:bookmarkStart w:id="387" w:name="_Toc150480771"/>
      <w:r/>
      <w:bookmarkStart w:id="388" w:name="_Toc195842898"/>
      <w:r/>
      <w:bookmarkStart w:id="389" w:name="_Toc127151533"/>
      <w:r/>
      <w:bookmarkStart w:id="390" w:name="_Toc151190160"/>
      <w:r/>
      <w:bookmarkStart w:id="391" w:name="_Toc151193631"/>
      <w:r/>
      <w:bookmarkStart w:id="392" w:name="_Toc164608802"/>
      <w:r/>
      <w:bookmarkStart w:id="393" w:name="_Toc226965723"/>
      <w:r/>
      <w:bookmarkStart w:id="394" w:name="_Toc164351627"/>
      <w:r/>
      <w:bookmarkStart w:id="395" w:name="_Toc164229374"/>
      <w:r/>
      <w:bookmarkStart w:id="396" w:name="_Toc150509284"/>
      <w:r/>
      <w:bookmarkStart w:id="397" w:name="_Toc151193847"/>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151193704"/>
      <w:r/>
      <w:bookmarkStart w:id="399" w:name="_Toc226965807"/>
      <w:r/>
      <w:bookmarkStart w:id="400" w:name="_Toc150774739"/>
      <w:r/>
      <w:bookmarkStart w:id="401" w:name="_Toc226309778"/>
      <w:r/>
      <w:bookmarkStart w:id="402" w:name="_Toc226337230"/>
      <w:r/>
      <w:bookmarkStart w:id="403" w:name="_Toc264969224"/>
      <w:r/>
      <w:bookmarkStart w:id="404" w:name="_Toc226965724"/>
      <w:r/>
      <w:bookmarkStart w:id="405" w:name="_Toc142311036"/>
      <w:r/>
      <w:bookmarkStart w:id="406" w:name="_Toc151193632"/>
      <w:r/>
      <w:bookmarkStart w:id="407" w:name="_Toc305158802"/>
      <w:r/>
      <w:bookmarkStart w:id="408" w:name="_Toc520356159"/>
      <w:r/>
      <w:bookmarkStart w:id="409" w:name="_Toc127151534"/>
      <w:r/>
      <w:bookmarkStart w:id="410" w:name="_Toc150774634"/>
      <w:r/>
      <w:bookmarkStart w:id="411" w:name="_Toc151190161"/>
      <w:r/>
      <w:bookmarkStart w:id="412" w:name="_Toc150480772"/>
      <w:r/>
      <w:bookmarkStart w:id="413" w:name="_Toc151193922"/>
      <w:r/>
      <w:bookmarkStart w:id="414" w:name="_Toc265228372"/>
      <w:r/>
      <w:bookmarkStart w:id="415" w:name="_Toc195842899"/>
      <w:r/>
      <w:bookmarkStart w:id="416" w:name="_Toc151193776"/>
      <w:r/>
      <w:bookmarkStart w:id="417" w:name="_Toc150509285"/>
      <w:r/>
      <w:bookmarkStart w:id="418" w:name="_Toc151193848"/>
      <w:r/>
      <w:bookmarkStart w:id="419" w:name="_Toc30515887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0"/>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2"/>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64608649"/>
      <w:r/>
      <w:bookmarkStart w:id="421" w:name="_Toc151193777"/>
      <w:r/>
      <w:bookmarkStart w:id="422" w:name="_Toc264969225"/>
      <w:r/>
      <w:bookmarkStart w:id="423" w:name="_Toc150509286"/>
      <w:r/>
      <w:bookmarkStart w:id="424" w:name="_Toc226309779"/>
      <w:r/>
      <w:bookmarkStart w:id="425" w:name="_Toc164229376"/>
      <w:r/>
      <w:bookmarkStart w:id="426" w:name="_Toc520356160"/>
      <w:r/>
      <w:bookmarkStart w:id="427" w:name="_Toc142311037"/>
      <w:r/>
      <w:bookmarkStart w:id="428" w:name="_Toc164351629"/>
      <w:r/>
      <w:bookmarkStart w:id="429" w:name="_Toc150774635"/>
      <w:r/>
      <w:bookmarkStart w:id="430" w:name="_Toc151193923"/>
      <w:r/>
      <w:bookmarkStart w:id="431" w:name="_Toc305158803"/>
      <w:r/>
      <w:bookmarkStart w:id="432" w:name="_Toc151193633"/>
      <w:r/>
      <w:bookmarkStart w:id="433" w:name="_Toc226965725"/>
      <w:r/>
      <w:bookmarkStart w:id="434" w:name="_Toc226965808"/>
      <w:r/>
      <w:bookmarkStart w:id="435" w:name="_Toc149720828"/>
      <w:r/>
      <w:bookmarkStart w:id="436" w:name="_Toc127151535"/>
      <w:r/>
      <w:bookmarkStart w:id="437" w:name="_Toc164608804"/>
      <w:r/>
      <w:bookmarkStart w:id="438" w:name="_Toc265228373"/>
      <w:r/>
      <w:bookmarkStart w:id="439" w:name="_Toc127161449"/>
      <w:r/>
      <w:bookmarkStart w:id="440" w:name="_Toc150480773"/>
      <w:r/>
      <w:bookmarkStart w:id="441" w:name="_Toc151193849"/>
      <w:r/>
      <w:bookmarkStart w:id="442" w:name="_Toc226337231"/>
      <w:r/>
      <w:bookmarkStart w:id="443" w:name="_Toc164229230"/>
      <w:r/>
      <w:bookmarkStart w:id="444" w:name="_Toc151190162"/>
      <w:r/>
      <w:bookmarkStart w:id="445" w:name="_Toc195842900"/>
      <w:r/>
      <w:bookmarkStart w:id="446" w:name="_Toc305158877"/>
      <w:r/>
      <w:bookmarkStart w:id="447" w:name="_Toc127151736"/>
      <w:r/>
      <w:bookmarkStart w:id="448" w:name="_Toc150774740"/>
      <w:r/>
      <w:bookmarkStart w:id="449" w:name="_Toc15119370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226337232"/>
      <w:r/>
      <w:bookmarkStart w:id="451" w:name="_Toc127161450"/>
      <w:r/>
      <w:bookmarkStart w:id="452" w:name="_Toc164229377"/>
      <w:r/>
      <w:bookmarkStart w:id="453" w:name="_Toc164351630"/>
      <w:r/>
      <w:bookmarkStart w:id="454" w:name="_Toc150774741"/>
      <w:r/>
      <w:bookmarkStart w:id="455" w:name="_Toc305158878"/>
      <w:r/>
      <w:bookmarkStart w:id="456" w:name="_Toc127151737"/>
      <w:r/>
      <w:bookmarkStart w:id="457" w:name="_Toc151193778"/>
      <w:r/>
      <w:bookmarkStart w:id="458" w:name="_Toc520356161"/>
      <w:r/>
      <w:bookmarkStart w:id="459" w:name="_Toc164229231"/>
      <w:r/>
      <w:bookmarkStart w:id="460" w:name="_Toc265228374"/>
      <w:r/>
      <w:bookmarkStart w:id="461" w:name="_Toc142311038"/>
      <w:r/>
      <w:bookmarkStart w:id="462" w:name="_Toc150774636"/>
      <w:r/>
      <w:bookmarkStart w:id="463" w:name="_Toc264969226"/>
      <w:r/>
      <w:bookmarkStart w:id="464" w:name="_Toc151190163"/>
      <w:r/>
      <w:bookmarkStart w:id="465" w:name="_Toc195842901"/>
      <w:r/>
      <w:bookmarkStart w:id="466" w:name="_Toc149720829"/>
      <w:r/>
      <w:bookmarkStart w:id="467" w:name="_Toc226965726"/>
      <w:r/>
      <w:bookmarkStart w:id="468" w:name="_Toc150480774"/>
      <w:r/>
      <w:bookmarkStart w:id="469" w:name="_Toc164608650"/>
      <w:r/>
      <w:bookmarkStart w:id="470" w:name="_Toc151193706"/>
      <w:r/>
      <w:bookmarkStart w:id="471" w:name="_Toc305158804"/>
      <w:r/>
      <w:bookmarkStart w:id="472" w:name="_Toc150509287"/>
      <w:r/>
      <w:bookmarkStart w:id="473" w:name="_Toc151193924"/>
      <w:r/>
      <w:bookmarkStart w:id="474" w:name="_Toc164608805"/>
      <w:r/>
      <w:bookmarkStart w:id="475" w:name="_Toc226309780"/>
      <w:r/>
      <w:bookmarkStart w:id="476" w:name="_Toc151193634"/>
      <w:r/>
      <w:bookmarkStart w:id="477" w:name="_Toc127151536"/>
      <w:r/>
      <w:bookmarkStart w:id="478" w:name="_Toc226965809"/>
      <w:r/>
      <w:bookmarkStart w:id="479" w:name="_Toc151193850"/>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9720830"/>
      <w:r/>
      <w:bookmarkStart w:id="481" w:name="_Toc195842902"/>
      <w:r/>
      <w:bookmarkStart w:id="482" w:name="_Toc265228375"/>
      <w:r/>
      <w:bookmarkStart w:id="483" w:name="_Toc150509288"/>
      <w:r/>
      <w:bookmarkStart w:id="484" w:name="_Toc305158879"/>
      <w:r/>
      <w:bookmarkStart w:id="485" w:name="_Toc164608806"/>
      <w:r/>
      <w:bookmarkStart w:id="486" w:name="_Toc226965727"/>
      <w:r/>
      <w:bookmarkStart w:id="487" w:name="_Toc151193707"/>
      <w:r/>
      <w:bookmarkStart w:id="488" w:name="_Toc226965810"/>
      <w:r/>
      <w:bookmarkStart w:id="489" w:name="_Toc151190164"/>
      <w:r/>
      <w:bookmarkStart w:id="490" w:name="_Toc164229232"/>
      <w:r/>
      <w:bookmarkStart w:id="491" w:name="_Toc150480775"/>
      <w:r/>
      <w:bookmarkStart w:id="492" w:name="_Toc151193925"/>
      <w:r/>
      <w:bookmarkStart w:id="493" w:name="_Toc226309781"/>
      <w:r/>
      <w:bookmarkStart w:id="494" w:name="_Toc142311039"/>
      <w:r/>
      <w:bookmarkStart w:id="495" w:name="_Toc520356162"/>
      <w:r/>
      <w:bookmarkStart w:id="496" w:name="_Toc164351631"/>
      <w:r/>
      <w:bookmarkStart w:id="497" w:name="_Toc150774637"/>
      <w:r/>
      <w:bookmarkStart w:id="498" w:name="_Toc164608651"/>
      <w:r/>
      <w:bookmarkStart w:id="499" w:name="_Toc127161451"/>
      <w:r/>
      <w:bookmarkStart w:id="500" w:name="_Toc150774742"/>
      <w:r/>
      <w:bookmarkStart w:id="501" w:name="_Toc264969227"/>
      <w:r/>
      <w:bookmarkStart w:id="502" w:name="_Toc127151537"/>
      <w:r/>
      <w:bookmarkStart w:id="503" w:name="_Toc305158805"/>
      <w:r/>
      <w:bookmarkStart w:id="504" w:name="_Toc226337233"/>
      <w:r/>
      <w:bookmarkStart w:id="505" w:name="_Toc127151738"/>
      <w:r/>
      <w:bookmarkStart w:id="506" w:name="_Toc151193635"/>
      <w:r/>
      <w:bookmarkStart w:id="507" w:name="_Toc151193851"/>
      <w:r/>
      <w:bookmarkStart w:id="508" w:name="_Toc164229378"/>
      <w:r/>
      <w:bookmarkStart w:id="509" w:name="_Toc151193779"/>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0"/>
        <w:ind w:firstLine="480"/>
        <w:spacing w:line="360" w:lineRule="auto"/>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10" w:name="_Toc151193708"/>
      <w:r/>
      <w:bookmarkStart w:id="511" w:name="_Toc151193852"/>
      <w:r/>
      <w:bookmarkStart w:id="512" w:name="_Toc150480776"/>
      <w:r/>
      <w:bookmarkStart w:id="513" w:name="_Toc150774743"/>
      <w:r/>
      <w:bookmarkStart w:id="514" w:name="_Toc265228376"/>
      <w:r/>
      <w:bookmarkStart w:id="515" w:name="_Toc264969228"/>
      <w:r/>
      <w:bookmarkStart w:id="516" w:name="_Toc150509289"/>
      <w:r/>
      <w:bookmarkStart w:id="517" w:name="_Toc151193780"/>
      <w:r/>
      <w:bookmarkStart w:id="518" w:name="_Toc151190165"/>
      <w:r/>
      <w:bookmarkStart w:id="519" w:name="_Toc226337234"/>
      <w:r/>
      <w:bookmarkStart w:id="520" w:name="_Toc150774638"/>
      <w:r/>
      <w:bookmarkStart w:id="521" w:name="_Toc151193926"/>
      <w:r/>
      <w:bookmarkStart w:id="522" w:name="_Toc520356163"/>
      <w:r/>
      <w:bookmarkStart w:id="523" w:name="_Toc142311040"/>
      <w:r/>
      <w:bookmarkStart w:id="524" w:name="_Toc305158806"/>
      <w:r/>
      <w:bookmarkStart w:id="525" w:name="_Toc226965811"/>
      <w:r/>
      <w:bookmarkStart w:id="526" w:name="_Toc127151538"/>
      <w:r/>
      <w:bookmarkStart w:id="527" w:name="_Toc195842903"/>
      <w:r/>
      <w:bookmarkStart w:id="528" w:name="_Toc226309782"/>
      <w:r/>
      <w:bookmarkStart w:id="529" w:name="_Toc151193636"/>
      <w:r/>
      <w:bookmarkStart w:id="530" w:name="_Toc305158880"/>
      <w:r/>
      <w:bookmarkStart w:id="531" w:name="_Toc226965728"/>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226309783"/>
      <w:r/>
      <w:bookmarkStart w:id="533" w:name="_Toc150509290"/>
      <w:r/>
      <w:bookmarkStart w:id="534" w:name="_Toc151193637"/>
      <w:r/>
      <w:bookmarkStart w:id="535" w:name="_Toc226965729"/>
      <w:r/>
      <w:bookmarkStart w:id="536" w:name="_Toc151193927"/>
      <w:r/>
      <w:bookmarkStart w:id="537" w:name="_Toc226337235"/>
      <w:r/>
      <w:bookmarkStart w:id="538" w:name="_Toc195842904"/>
      <w:r/>
      <w:bookmarkStart w:id="539" w:name="_Toc520356164"/>
      <w:r/>
      <w:bookmarkStart w:id="540" w:name="_Toc151190166"/>
      <w:r/>
      <w:bookmarkStart w:id="541" w:name="_Toc149720832"/>
      <w:r/>
      <w:bookmarkStart w:id="542" w:name="_Toc142311041"/>
      <w:r/>
      <w:bookmarkStart w:id="543" w:name="_Toc265228377"/>
      <w:r/>
      <w:bookmarkStart w:id="544" w:name="_Toc127161453"/>
      <w:r/>
      <w:bookmarkStart w:id="545" w:name="_Toc164229380"/>
      <w:r/>
      <w:bookmarkStart w:id="546" w:name="_Toc150774639"/>
      <w:r/>
      <w:bookmarkStart w:id="547" w:name="_Toc164351633"/>
      <w:r/>
      <w:bookmarkStart w:id="548" w:name="_Toc127151539"/>
      <w:r/>
      <w:bookmarkStart w:id="549" w:name="_Toc305158881"/>
      <w:r/>
      <w:bookmarkStart w:id="550" w:name="_Toc164608653"/>
      <w:r/>
      <w:bookmarkStart w:id="551" w:name="_Toc150774744"/>
      <w:r/>
      <w:bookmarkStart w:id="552" w:name="_Toc127151740"/>
      <w:r/>
      <w:bookmarkStart w:id="553" w:name="_Toc151193709"/>
      <w:r/>
      <w:bookmarkStart w:id="554" w:name="_Toc264969229"/>
      <w:r/>
      <w:bookmarkStart w:id="555" w:name="_Toc164229234"/>
      <w:r/>
      <w:bookmarkStart w:id="556" w:name="_Toc305158807"/>
      <w:r/>
      <w:bookmarkStart w:id="557" w:name="_Toc151193853"/>
      <w:r/>
      <w:bookmarkStart w:id="558" w:name="_Toc226965812"/>
      <w:r/>
      <w:bookmarkStart w:id="559" w:name="_Toc164608808"/>
      <w:r/>
      <w:bookmarkStart w:id="560" w:name="_Toc150480777"/>
      <w:r/>
      <w:bookmarkStart w:id="561" w:name="_Toc151193781"/>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0"/>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0"/>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0"/>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50774745"/>
      <w:r/>
      <w:bookmarkStart w:id="564" w:name="_Toc127161454"/>
      <w:r/>
      <w:bookmarkStart w:id="565" w:name="_Toc151190167"/>
      <w:r/>
      <w:bookmarkStart w:id="566" w:name="_Toc151193782"/>
      <w:r/>
      <w:bookmarkStart w:id="567" w:name="_Toc127151540"/>
      <w:r/>
      <w:bookmarkStart w:id="568" w:name="_Toc151193928"/>
      <w:r/>
      <w:bookmarkStart w:id="569" w:name="_Toc151193854"/>
      <w:r/>
      <w:bookmarkStart w:id="570" w:name="_Toc151193638"/>
      <w:r/>
      <w:bookmarkStart w:id="571" w:name="_Toc150509291"/>
      <w:r/>
      <w:bookmarkStart w:id="572" w:name="_Toc149720833"/>
      <w:r/>
      <w:bookmarkStart w:id="573" w:name="_Toc127151741"/>
      <w:r/>
      <w:bookmarkStart w:id="574" w:name="_Toc164229381"/>
      <w:r/>
      <w:bookmarkStart w:id="575" w:name="_Toc226965813"/>
      <w:r/>
      <w:bookmarkStart w:id="576" w:name="_Toc305158882"/>
      <w:r/>
      <w:bookmarkStart w:id="577" w:name="_Toc151193710"/>
      <w:r/>
      <w:bookmarkStart w:id="578" w:name="_Toc150774640"/>
      <w:r/>
      <w:bookmarkStart w:id="579" w:name="_Toc195842905"/>
      <w:r/>
      <w:bookmarkStart w:id="580" w:name="_Toc164351634"/>
      <w:r/>
      <w:bookmarkStart w:id="581" w:name="_Toc265228378"/>
      <w:r/>
      <w:bookmarkStart w:id="582" w:name="_Toc226337236"/>
      <w:r/>
      <w:bookmarkStart w:id="583" w:name="_Toc164608809"/>
      <w:r/>
      <w:bookmarkStart w:id="584" w:name="_Toc150480778"/>
      <w:r/>
      <w:bookmarkStart w:id="585" w:name="_Toc164608654"/>
      <w:r/>
      <w:bookmarkStart w:id="586" w:name="_Toc226309784"/>
      <w:r/>
      <w:bookmarkStart w:id="587" w:name="_Toc142311042"/>
      <w:r/>
      <w:bookmarkStart w:id="588" w:name="_Toc164229235"/>
      <w:r/>
      <w:bookmarkStart w:id="589" w:name="_Toc305158808"/>
      <w:r/>
      <w:bookmarkStart w:id="590" w:name="_Toc264969230"/>
      <w:r/>
      <w:bookmarkStart w:id="591" w:name="_Toc2269657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0"/>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ind w:firstLine="562"/>
        <w:spacing w:before="0" w:line="360" w:lineRule="auto"/>
        <w:rPr>
          <w:rFonts w:hint="eastAsia" w:ascii="宋体" w:hAnsi="宋体" w:eastAsia="宋体" w:cs="宋体"/>
          <w:sz w:val="28"/>
        </w:rPr>
      </w:pPr>
      <w:r/>
      <w:bookmarkStart w:id="594" w:name="_Toc151193787"/>
      <w:r/>
      <w:bookmarkStart w:id="595" w:name="_Toc305158813"/>
      <w:r/>
      <w:bookmarkStart w:id="596" w:name="_Toc150774750"/>
      <w:r/>
      <w:bookmarkStart w:id="597" w:name="_Toc305158887"/>
      <w:r/>
      <w:bookmarkStart w:id="598" w:name="_Toc265228383"/>
      <w:r/>
      <w:bookmarkStart w:id="599" w:name="_Toc151193715"/>
      <w:r/>
      <w:bookmarkStart w:id="600" w:name="_Toc226309789"/>
      <w:r/>
      <w:bookmarkStart w:id="601" w:name="_Toc151193643"/>
      <w:r/>
      <w:bookmarkStart w:id="602" w:name="_Toc226965735"/>
      <w:r/>
      <w:bookmarkStart w:id="603" w:name="_Toc226965818"/>
      <w:r/>
      <w:bookmarkStart w:id="604" w:name="_Toc150480783"/>
      <w:r/>
      <w:bookmarkStart w:id="605" w:name="_Toc151190172"/>
      <w:r/>
      <w:bookmarkStart w:id="606" w:name="_Toc195842910"/>
      <w:r/>
      <w:bookmarkStart w:id="607" w:name="_Toc127151545"/>
      <w:r/>
      <w:bookmarkStart w:id="608" w:name="_Toc226337241"/>
      <w:r/>
      <w:bookmarkStart w:id="609" w:name="_Toc142311047"/>
      <w:r/>
      <w:bookmarkStart w:id="610" w:name="_Toc150509296"/>
      <w:r/>
      <w:bookmarkStart w:id="611" w:name="_Toc151193933"/>
      <w:r/>
      <w:bookmarkStart w:id="612" w:name="_Toc264969235"/>
      <w:r/>
      <w:bookmarkStart w:id="613" w:name="_Toc151193859"/>
      <w:r/>
      <w:bookmarkStart w:id="614" w:name="_Toc15077464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935"/>
      <w:r/>
      <w:bookmarkStart w:id="616" w:name="_Toc226965820"/>
      <w:r/>
      <w:bookmarkStart w:id="617" w:name="_Toc127161461"/>
      <w:r/>
      <w:bookmarkStart w:id="618" w:name="_Toc151193717"/>
      <w:r/>
      <w:bookmarkStart w:id="619" w:name="_Toc164229388"/>
      <w:r/>
      <w:bookmarkStart w:id="620" w:name="_Toc265228385"/>
      <w:r/>
      <w:bookmarkStart w:id="621" w:name="_Toc150509298"/>
      <w:r/>
      <w:bookmarkStart w:id="622" w:name="_Toc164608816"/>
      <w:r/>
      <w:bookmarkStart w:id="623" w:name="_Toc226337243"/>
      <w:r/>
      <w:bookmarkStart w:id="624" w:name="_Toc305158889"/>
      <w:r/>
      <w:bookmarkStart w:id="625" w:name="_Toc142311049"/>
      <w:r/>
      <w:bookmarkStart w:id="626" w:name="_Toc150480785"/>
      <w:r/>
      <w:bookmarkStart w:id="627" w:name="_Toc226309791"/>
      <w:r/>
      <w:bookmarkStart w:id="628" w:name="_Toc151193861"/>
      <w:r/>
      <w:bookmarkStart w:id="629" w:name="_Toc195842912"/>
      <w:r/>
      <w:bookmarkStart w:id="630" w:name="_Toc264969237"/>
      <w:r/>
      <w:bookmarkStart w:id="631" w:name="_Toc149720840"/>
      <w:r/>
      <w:bookmarkStart w:id="632" w:name="_Toc164608661"/>
      <w:r/>
      <w:bookmarkStart w:id="633" w:name="_Toc164351641"/>
      <w:r/>
      <w:bookmarkStart w:id="634" w:name="_Toc151190174"/>
      <w:r/>
      <w:bookmarkStart w:id="635" w:name="_Toc127151547"/>
      <w:r/>
      <w:bookmarkStart w:id="636" w:name="_Toc164229242"/>
      <w:r/>
      <w:bookmarkStart w:id="637" w:name="_Toc151193645"/>
      <w:r/>
      <w:bookmarkStart w:id="638" w:name="_Toc151193789"/>
      <w:r/>
      <w:bookmarkStart w:id="639" w:name="_Toc305158815"/>
      <w:r/>
      <w:bookmarkStart w:id="640" w:name="_Toc226965737"/>
      <w:r/>
      <w:bookmarkStart w:id="641" w:name="_Toc150774752"/>
      <w:r/>
      <w:bookmarkStart w:id="642" w:name="_Toc150774647"/>
      <w:r/>
      <w:bookmarkStart w:id="643" w:name="_Toc127151748"/>
      <w:r>
        <w:rPr>
          <w:rFonts w:hint="eastAsia" w:ascii="宋体" w:hAnsi="宋体" w:eastAsia="宋体" w:cs="宋体"/>
          <w:sz w:val="28"/>
        </w:rPr>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64608818"/>
      <w:r/>
      <w:bookmarkStart w:id="645" w:name="_Toc151193791"/>
      <w:r/>
      <w:bookmarkStart w:id="646" w:name="_Toc150774754"/>
      <w:r/>
      <w:bookmarkStart w:id="647" w:name="_Toc264969239"/>
      <w:r/>
      <w:bookmarkStart w:id="648" w:name="_Toc164608663"/>
      <w:r/>
      <w:bookmarkStart w:id="649" w:name="_Toc151193937"/>
      <w:r/>
      <w:bookmarkStart w:id="650" w:name="_Toc305158817"/>
      <w:r/>
      <w:bookmarkStart w:id="651" w:name="_Toc127151549"/>
      <w:r/>
      <w:bookmarkStart w:id="652" w:name="_Ref467306425"/>
      <w:r/>
      <w:bookmarkStart w:id="653" w:name="_Toc520356176"/>
      <w:r/>
      <w:bookmarkStart w:id="654" w:name="_Ref467307090"/>
      <w:r/>
      <w:bookmarkStart w:id="655" w:name="_Toc164229244"/>
      <w:r/>
      <w:bookmarkStart w:id="656" w:name="_Toc142311051"/>
      <w:r/>
      <w:bookmarkStart w:id="657" w:name="_Toc226309793"/>
      <w:r/>
      <w:bookmarkStart w:id="658" w:name="_Toc226337245"/>
      <w:r/>
      <w:bookmarkStart w:id="659" w:name="_Toc226965822"/>
      <w:r/>
      <w:bookmarkStart w:id="660" w:name="_Toc151190176"/>
      <w:r/>
      <w:bookmarkStart w:id="661" w:name="_Toc305158891"/>
      <w:r/>
      <w:bookmarkStart w:id="662" w:name="_Toc150509300"/>
      <w:r/>
      <w:bookmarkStart w:id="663" w:name="_Toc164229390"/>
      <w:r/>
      <w:bookmarkStart w:id="664" w:name="_Toc127161463"/>
      <w:r/>
      <w:bookmarkStart w:id="665" w:name="_Toc195842914"/>
      <w:r/>
      <w:bookmarkStart w:id="666" w:name="_Toc149720842"/>
      <w:r/>
      <w:bookmarkStart w:id="667" w:name="_Toc150774649"/>
      <w:r/>
      <w:bookmarkStart w:id="668" w:name="_Toc127151750"/>
      <w:r/>
      <w:bookmarkStart w:id="669" w:name="_Toc151193719"/>
      <w:r/>
      <w:bookmarkStart w:id="670" w:name="_Toc265228387"/>
      <w:r/>
      <w:bookmarkStart w:id="671" w:name="_Toc164351643"/>
      <w:r/>
      <w:bookmarkStart w:id="672" w:name="_Toc226965739"/>
      <w:r/>
      <w:bookmarkStart w:id="673" w:name="_Toc151193647"/>
      <w:r/>
      <w:bookmarkStart w:id="674" w:name="_Toc151193863"/>
      <w:r/>
      <w:bookmarkStart w:id="675" w:name="_Toc150480787"/>
      <w:r>
        <w:rPr>
          <w:rFonts w:hint="eastAsia" w:ascii="宋体" w:hAnsi="宋体" w:cs="宋体"/>
          <w:b/>
          <w:sz w:val="24"/>
        </w:rPr>
        <w:t xml:space="preserve">中标公告与中标通知书</w:t>
      </w:r>
      <w:bookmarkEnd w:id="650"/>
      <w:r/>
      <w:bookmarkEnd w:id="661"/>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0"/>
        <w:numPr>
          <w:ilvl w:val="2"/>
          <w:numId w:val="8"/>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7"/>
      <w:r/>
      <w:bookmarkEnd w:id="648"/>
      <w:r/>
      <w:bookmarkEnd w:id="649"/>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Ref467307204"/>
      <w:r/>
      <w:bookmarkStart w:id="677" w:name="_Toc226337246"/>
      <w:r/>
      <w:bookmarkStart w:id="678" w:name="_Toc195842915"/>
      <w:r/>
      <w:bookmarkStart w:id="679" w:name="_Toc150774755"/>
      <w:r/>
      <w:bookmarkStart w:id="680" w:name="_Toc151193648"/>
      <w:r/>
      <w:bookmarkStart w:id="681" w:name="_Toc305158818"/>
      <w:r/>
      <w:bookmarkStart w:id="682" w:name="_Ref467306377"/>
      <w:r/>
      <w:bookmarkStart w:id="683" w:name="_Toc164229245"/>
      <w:r/>
      <w:bookmarkStart w:id="684" w:name="_Ref467306978"/>
      <w:r/>
      <w:bookmarkStart w:id="685" w:name="_Toc164351644"/>
      <w:r/>
      <w:bookmarkStart w:id="686" w:name="_Ref467307062"/>
      <w:r/>
      <w:bookmarkStart w:id="687" w:name="_Toc226309794"/>
      <w:r/>
      <w:bookmarkStart w:id="688" w:name="_Toc226965740"/>
      <w:r/>
      <w:bookmarkStart w:id="689" w:name="_Toc150774650"/>
      <w:r/>
      <w:bookmarkStart w:id="690" w:name="_Toc150509301"/>
      <w:r/>
      <w:bookmarkStart w:id="691" w:name="_Toc151193864"/>
      <w:r/>
      <w:bookmarkStart w:id="692" w:name="_Toc164608664"/>
      <w:r/>
      <w:bookmarkStart w:id="693" w:name="_Toc265228388"/>
      <w:r/>
      <w:bookmarkStart w:id="694" w:name="_Toc164608819"/>
      <w:r/>
      <w:bookmarkStart w:id="695" w:name="_Toc127151550"/>
      <w:r/>
      <w:bookmarkStart w:id="696" w:name="_Toc150480788"/>
      <w:r/>
      <w:bookmarkStart w:id="697" w:name="_Toc149720843"/>
      <w:r/>
      <w:bookmarkStart w:id="698" w:name="_Toc520356175"/>
      <w:r/>
      <w:bookmarkStart w:id="699" w:name="_Toc151193720"/>
      <w:r/>
      <w:bookmarkStart w:id="700" w:name="_Toc127161464"/>
      <w:r/>
      <w:bookmarkStart w:id="701" w:name="_Toc151190177"/>
      <w:r/>
      <w:bookmarkStart w:id="702" w:name="_Toc142311052"/>
      <w:r/>
      <w:bookmarkStart w:id="703" w:name="_Toc305158892"/>
      <w:r/>
      <w:bookmarkStart w:id="704" w:name="_Toc226965823"/>
      <w:r/>
      <w:bookmarkStart w:id="705" w:name="_Toc264969240"/>
      <w:r/>
      <w:bookmarkStart w:id="706" w:name="_Toc151193938"/>
      <w:r/>
      <w:bookmarkStart w:id="707" w:name="_Toc127151751"/>
      <w:r/>
      <w:bookmarkStart w:id="708" w:name="_Toc151193792"/>
      <w:r/>
      <w:bookmarkStart w:id="709" w:name="_Toc164229391"/>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0"/>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0"/>
        <w:numPr>
          <w:ilvl w:val="2"/>
          <w:numId w:val="8"/>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6"/>
          <w:rFonts w:hint="eastAsia" w:ascii="宋体" w:hAnsi="宋体" w:cs="宋体"/>
          <w:color w:val="000000"/>
        </w:rPr>
        <w:t xml:space="preserve">http://gk</w:t>
      </w:r>
      <w:bookmarkStart w:id="710" w:name="_Hlt100654014"/>
      <w:r>
        <w:rPr>
          <w:rStyle w:val="1146"/>
          <w:rFonts w:hint="eastAsia" w:ascii="宋体" w:hAnsi="宋体" w:cs="宋体"/>
          <w:color w:val="000000"/>
        </w:rPr>
        <w:t xml:space="preserve">s</w:t>
      </w:r>
      <w:bookmarkEnd w:id="710"/>
      <w:r>
        <w:rPr>
          <w:rStyle w:val="1146"/>
          <w:rFonts w:hint="eastAsia" w:ascii="宋体" w:hAnsi="宋体" w:cs="宋体"/>
          <w:color w:val="000000"/>
        </w:rPr>
        <w:t xml:space="preserve">.m</w:t>
      </w:r>
      <w:bookmarkStart w:id="711" w:name="_Hlt100653993"/>
      <w:r/>
      <w:bookmarkStart w:id="712" w:name="_Hlt100653994"/>
      <w:r>
        <w:rPr>
          <w:rStyle w:val="1146"/>
          <w:rFonts w:hint="eastAsia" w:ascii="宋体" w:hAnsi="宋体" w:cs="宋体"/>
          <w:color w:val="000000"/>
        </w:rPr>
        <w:t xml:space="preserve">o</w:t>
      </w:r>
      <w:bookmarkEnd w:id="711"/>
      <w:r/>
      <w:bookmarkEnd w:id="712"/>
      <w:r>
        <w:rPr>
          <w:rStyle w:val="1146"/>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0"/>
        <w:numPr>
          <w:ilvl w:val="2"/>
          <w:numId w:val="8"/>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0"/>
        <w:numPr>
          <w:ilvl w:val="0"/>
          <w:numId w:val="8"/>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0"/>
        <w:numPr>
          <w:ilvl w:val="1"/>
          <w:numId w:val="8"/>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0"/>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0"/>
        <w:jc w:val="center"/>
        <w:spacing w:line="360" w:lineRule="auto"/>
        <w:rPr>
          <w:rFonts w:hint="eastAsia" w:ascii="宋体" w:hAnsi="宋体" w:cs="宋体"/>
          <w:b/>
          <w:sz w:val="36"/>
          <w:szCs w:val="36"/>
        </w:rPr>
        <w:outlineLvl w:val="0"/>
      </w:pPr>
      <w:r/>
      <w:bookmarkStart w:id="713" w:name="_Toc353873664"/>
      <w:r/>
      <w:bookmarkStart w:id="714" w:name="_Toc150480792"/>
      <w:r/>
      <w:bookmarkStart w:id="715" w:name="_Toc353873934"/>
      <w:r/>
      <w:bookmarkStart w:id="716" w:name="_Toc265228392"/>
      <w:r/>
      <w:bookmarkStart w:id="717" w:name="_Toc226965827"/>
      <w:r/>
      <w:bookmarkStart w:id="718" w:name="_Toc150774759"/>
      <w:r/>
      <w:bookmarkStart w:id="719" w:name="_Toc305158822"/>
      <w:r/>
      <w:bookmarkStart w:id="720" w:name="_Toc127151554"/>
      <w:r/>
      <w:bookmarkStart w:id="721" w:name="_Toc353825544"/>
      <w:r/>
      <w:bookmarkStart w:id="722" w:name="_Toc142311056"/>
      <w:r/>
      <w:bookmarkStart w:id="723" w:name="_Toc264969244"/>
      <w:r/>
      <w:bookmarkStart w:id="724" w:name="_Toc226337250"/>
      <w:r/>
      <w:bookmarkStart w:id="725" w:name="_Toc305158896"/>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0"/>
        <w:jc w:val="left"/>
        <w:widowControl/>
        <w:rPr>
          <w:rFonts w:hint="eastAsia" w:ascii="宋体" w:hAnsi="宋体" w:cs="宋体"/>
          <w:sz w:val="24"/>
        </w:rPr>
      </w:pPr>
      <w:r>
        <w:rPr>
          <w:rFonts w:hint="eastAsia" w:ascii="宋体" w:hAnsi="宋体" w:cs="宋体"/>
          <w:sz w:val="24"/>
        </w:rPr>
      </w:r>
      <w:r/>
    </w:p>
    <w:p>
      <w:pPr>
        <w:pStyle w:val="1070"/>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0"/>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0"/>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0"/>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0"/>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0"/>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0"/>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0"/>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127161490"/>
      <w:r/>
      <w:bookmarkStart w:id="732" w:name="_Toc353873940"/>
      <w:r/>
      <w:bookmarkStart w:id="733" w:name="_Toc226965858"/>
      <w:r/>
      <w:bookmarkStart w:id="734" w:name="_Toc127151779"/>
      <w:r>
        <w:rPr>
          <w:rFonts w:hint="eastAsia" w:ascii="宋体" w:hAnsi="宋体" w:cs="宋体"/>
          <w:sz w:val="24"/>
        </w:rPr>
        <w:br w:type="page" w:clear="all"/>
      </w:r>
      <w:r/>
    </w:p>
    <w:p>
      <w:pPr>
        <w:pStyle w:val="1070"/>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0"/>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0"/>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1193639"/>
      <w:r/>
      <w:bookmarkStart w:id="738" w:name="_Toc150774746"/>
      <w:r/>
      <w:bookmarkStart w:id="739" w:name="_Toc127161455"/>
      <w:r/>
      <w:bookmarkStart w:id="740" w:name="_Toc127151742"/>
      <w:r/>
      <w:bookmarkStart w:id="741" w:name="_Toc150774641"/>
      <w:r/>
      <w:bookmarkStart w:id="742" w:name="_Toc151193929"/>
      <w:r/>
      <w:bookmarkStart w:id="743" w:name="_Toc149720834"/>
      <w:r/>
      <w:bookmarkStart w:id="744" w:name="_Toc151193855"/>
      <w:r/>
      <w:bookmarkStart w:id="745" w:name="_Toc265228379"/>
      <w:r/>
      <w:bookmarkStart w:id="746" w:name="_Toc164608810"/>
      <w:r/>
      <w:bookmarkStart w:id="747" w:name="_Toc305158809"/>
      <w:r/>
      <w:bookmarkStart w:id="748" w:name="_Toc305158883"/>
      <w:r/>
      <w:bookmarkStart w:id="749" w:name="_Toc151190168"/>
      <w:r/>
      <w:bookmarkStart w:id="750" w:name="_Toc151193711"/>
      <w:r/>
      <w:bookmarkStart w:id="751" w:name="_Toc164608655"/>
      <w:r/>
      <w:bookmarkStart w:id="752" w:name="_Toc150480779"/>
      <w:r/>
      <w:bookmarkStart w:id="753" w:name="_Toc264969231"/>
      <w:r/>
      <w:bookmarkStart w:id="754" w:name="_Toc151193783"/>
      <w:r/>
      <w:bookmarkStart w:id="755" w:name="_Toc195842906"/>
      <w:r/>
      <w:bookmarkStart w:id="756" w:name="_Toc150509292"/>
      <w:r/>
      <w:bookmarkStart w:id="757" w:name="_Toc142311043"/>
      <w:r/>
      <w:bookmarkStart w:id="758" w:name="_Toc226965814"/>
      <w:r/>
      <w:bookmarkStart w:id="759" w:name="_Toc127151541"/>
      <w:r/>
      <w:bookmarkStart w:id="760" w:name="_Toc164229382"/>
      <w:r/>
      <w:bookmarkStart w:id="761" w:name="_Toc226309785"/>
      <w:r/>
      <w:bookmarkStart w:id="762" w:name="_Toc164351635"/>
      <w:r/>
      <w:bookmarkStart w:id="763" w:name="_Toc226337237"/>
      <w:r/>
      <w:bookmarkStart w:id="764" w:name="_Toc226965731"/>
      <w:r/>
      <w:bookmarkStart w:id="765" w:name="_Toc164229236"/>
      <w:r/>
      <w:bookmarkStart w:id="766" w:name="_Toc353873941"/>
      <w:r/>
      <w:bookmarkStart w:id="767" w:name="_Toc353825551"/>
      <w:r/>
      <w:bookmarkStart w:id="768" w:name="_Toc353873935"/>
      <w:r/>
      <w:bookmarkStart w:id="769" w:name="_Toc142311057"/>
      <w:r/>
      <w:bookmarkStart w:id="770" w:name="_Toc127151555"/>
      <w:r/>
      <w:bookmarkStart w:id="771" w:name="_Toc264969245"/>
      <w:r/>
      <w:bookmarkStart w:id="772" w:name="_Toc150480793"/>
      <w:r/>
      <w:bookmarkStart w:id="773" w:name="_Toc265228393"/>
      <w:r/>
      <w:bookmarkStart w:id="774" w:name="_Toc353825545"/>
      <w:r/>
      <w:bookmarkStart w:id="775" w:name="_Toc353873665"/>
      <w:r/>
      <w:bookmarkStart w:id="776" w:name="_Toc150774760"/>
      <w:r/>
      <w:bookmarkStart w:id="777" w:name="_Toc305158897"/>
      <w:r/>
      <w:bookmarkStart w:id="778" w:name="_Toc226337251"/>
      <w:r/>
      <w:bookmarkStart w:id="779" w:name="_Toc305158823"/>
      <w:r/>
      <w:bookmarkStart w:id="780" w:name="_Toc195842920"/>
      <w:r/>
      <w:bookmarkStart w:id="781" w:name="_Toc226965828"/>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0"/>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0"/>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0"/>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分包意向协议</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根据江苏省财政厅《关于推动解决政府采购异常低价问题相关工作的通知》苏财购【2025】62号文件之规定：当评审过程中出现下列情形之一的，评审委员会应当启动异常低价投标（响应）审查程序： </w:t>
            </w:r>
            <w:r/>
          </w:p>
          <w:p>
            <w:pPr>
              <w:pStyle w:val="1070"/>
              <w:jc w:val="left"/>
              <w:widowControl/>
              <w:rPr>
                <w:rFonts w:hint="eastAsia" w:ascii="宋体" w:hAnsi="宋体" w:cs="宋体"/>
                <w:sz w:val="24"/>
              </w:rPr>
            </w:pPr>
            <w:r>
              <w:rPr>
                <w:rFonts w:hint="eastAsia" w:ascii="宋体" w:hAnsi="宋体" w:cs="宋体"/>
                <w:sz w:val="24"/>
              </w:rPr>
              <w:t xml:space="preserve">1、投标（响应）报价低于采购项目预算50%的，即投标（响应）报价&lt;采购项目预算×50%；</w:t>
            </w:r>
            <w:r/>
          </w:p>
          <w:p>
            <w:pPr>
              <w:pStyle w:val="1070"/>
              <w:jc w:val="left"/>
              <w:widowControl/>
              <w:rPr>
                <w:rFonts w:hint="eastAsia" w:ascii="宋体" w:hAnsi="宋体" w:cs="宋体"/>
                <w:sz w:val="24"/>
              </w:rPr>
            </w:pPr>
            <w:r>
              <w:rPr>
                <w:rFonts w:hint="eastAsia" w:ascii="宋体" w:hAnsi="宋体" w:cs="宋体"/>
                <w:sz w:val="24"/>
              </w:rPr>
              <w:t xml:space="preserve">2、投标（响应）报价低于采购项目最高限价45%的，即投 标（响应）报价&lt;采购项目最高限价×45%；</w:t>
            </w:r>
            <w:r/>
          </w:p>
          <w:p>
            <w:pPr>
              <w:pStyle w:val="1070"/>
              <w:jc w:val="left"/>
              <w:widowControl/>
              <w:rPr>
                <w:rFonts w:hint="eastAsia" w:ascii="宋体" w:hAnsi="宋体" w:cs="宋体"/>
                <w:sz w:val="24"/>
              </w:rPr>
            </w:pPr>
            <w:r>
              <w:rPr>
                <w:rFonts w:hint="eastAsia" w:ascii="宋体" w:hAnsi="宋体" w:cs="宋体"/>
                <w:sz w:val="24"/>
              </w:rPr>
              <w:t xml:space="preserve">3、评审委员会认定的供应商报价过低、有可能影响产品质 量或者不能诚信履约的其他情形。</w:t>
            </w:r>
            <w:r/>
          </w:p>
          <w:p>
            <w:pPr>
              <w:pStyle w:val="1070"/>
              <w:jc w:val="left"/>
              <w:widowControl/>
              <w:rPr>
                <w:rFonts w:hint="eastAsia" w:ascii="宋体" w:hAnsi="宋体" w:cs="宋体"/>
                <w:sz w:val="24"/>
              </w:rPr>
            </w:pPr>
            <w:r>
              <w:rPr>
                <w:rFonts w:hint="eastAsia" w:ascii="宋体" w:hAnsi="宋体" w:cs="宋体"/>
                <w:sz w:val="24"/>
              </w:rPr>
              <w:t xml:space="preserve">启动异常低价投标（响应）审查后，评审委员会应当要求相关供应商在评标现场合理的时间内，提供项目具体成本测算等与报价合理性相关的书面说明及相关证明材料，对投标（响 应）价格作出解释，由评审委员会结合同类产品在主要电商平台的价格、该行业当地薪资水平等情况，依据专业经验对供应商报价合理性进行判断。投标（响应）供应商不提供书面说明、证明 材料，或者提供的书面说明、证明材料不能证明其报价合理性的，评审委员会应当将其作为无效投标（响应）处理。审查相关情况应当在评审报告中进行记录。</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进口产品</w:t>
            </w:r>
            <w:r/>
          </w:p>
          <w:p>
            <w:pPr>
              <w:pStyle w:val="1070"/>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0"/>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0"/>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pStyle w:val="1070"/>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pStyle w:val="1070"/>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0"/>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0"/>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0"/>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0"/>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0"/>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0"/>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0"/>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0"/>
        <w:numPr>
          <w:ilvl w:val="0"/>
          <w:numId w:val="13"/>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0"/>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0"/>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0"/>
        <w:numPr>
          <w:ilvl w:val="1"/>
          <w:numId w:val="12"/>
        </w:numPr>
        <w:ind w:left="0" w:firstLine="480"/>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sz w:val="24"/>
        </w:rPr>
        <w:t xml:space="preserve">落实政府采购政策的价格调整：只有符合第二章《投标人须知》5.2条规定情形的，可以享受中小企业扶持政策，用扣除后的价格参加评审；否则，评标时价格不予扣除。</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clear" w:pos="1980"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0"/>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0"/>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51193716"/>
      <w:r/>
      <w:bookmarkStart w:id="784" w:name="_Toc150480784"/>
      <w:r/>
      <w:bookmarkStart w:id="785" w:name="_Toc164608815"/>
      <w:r/>
      <w:bookmarkStart w:id="786" w:name="_Toc164351640"/>
      <w:r/>
      <w:bookmarkStart w:id="787" w:name="_Toc164229387"/>
      <w:r/>
      <w:bookmarkStart w:id="788" w:name="_Toc226965736"/>
      <w:r/>
      <w:bookmarkStart w:id="789" w:name="_Toc226965819"/>
      <w:r/>
      <w:bookmarkStart w:id="790" w:name="_Toc164229241"/>
      <w:r/>
      <w:bookmarkStart w:id="791" w:name="_Toc151193788"/>
      <w:r/>
      <w:bookmarkStart w:id="792" w:name="_Toc149720839"/>
      <w:r/>
      <w:bookmarkStart w:id="793" w:name="_Toc305158888"/>
      <w:r/>
      <w:bookmarkStart w:id="794" w:name="_Toc151193644"/>
      <w:r/>
      <w:bookmarkStart w:id="795" w:name="_Toc265228384"/>
      <w:r/>
      <w:bookmarkStart w:id="796" w:name="_Toc226309790"/>
      <w:r/>
      <w:bookmarkStart w:id="797" w:name="_Ref467307010"/>
      <w:r/>
      <w:bookmarkStart w:id="798" w:name="_Toc151193934"/>
      <w:r/>
      <w:bookmarkStart w:id="799" w:name="_Toc150774751"/>
      <w:r/>
      <w:bookmarkStart w:id="800" w:name="_Toc127151546"/>
      <w:r/>
      <w:bookmarkStart w:id="801" w:name="_Toc151190173"/>
      <w:r/>
      <w:bookmarkStart w:id="802" w:name="_Toc264969236"/>
      <w:r/>
      <w:bookmarkStart w:id="803" w:name="_Toc127151747"/>
      <w:r/>
      <w:bookmarkStart w:id="804" w:name="_Toc164608660"/>
      <w:r/>
      <w:bookmarkStart w:id="805" w:name="_Toc226337242"/>
      <w:r/>
      <w:bookmarkStart w:id="806" w:name="_Toc195842911"/>
      <w:r/>
      <w:bookmarkStart w:id="807" w:name="_Toc142311048"/>
      <w:r/>
      <w:bookmarkStart w:id="808" w:name="_Toc520356170"/>
      <w:r/>
      <w:bookmarkStart w:id="809" w:name="_Toc150774646"/>
      <w:r/>
      <w:bookmarkStart w:id="810" w:name="_Toc150509297"/>
      <w:r/>
      <w:bookmarkStart w:id="811" w:name="_Toc305158814"/>
      <w:r/>
      <w:bookmarkStart w:id="812" w:name="_Toc151193860"/>
      <w:r/>
      <w:bookmarkStart w:id="813" w:name="_Toc12716146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0"/>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0"/>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0"/>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0"/>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0"/>
        <w:jc w:val="center"/>
        <w:spacing w:line="360" w:lineRule="auto"/>
        <w:tabs>
          <w:tab w:val="left" w:pos="360" w:leader="none"/>
          <w:tab w:val="left" w:pos="900" w:leader="none"/>
        </w:tabs>
        <w:rPr>
          <w:rFonts w:ascii="宋体" w:hAnsi="宋体"/>
          <w:b/>
        </w:rPr>
        <w:outlineLvl w:val="1"/>
      </w:pPr>
      <w:r>
        <w:rPr>
          <w:rFonts w:ascii="宋体" w:hAnsi="宋体"/>
          <w:b/>
          <w:sz w:val="24"/>
        </w:rPr>
        <w:t xml:space="preserve">二、评标标准</w:t>
      </w:r>
      <w:r>
        <w:rPr>
          <w:rFonts w:ascii="宋体" w:hAnsi="宋体"/>
          <w:b/>
        </w:rPr>
      </w:r>
      <w:r/>
    </w:p>
    <w:p>
      <w:pPr>
        <w:pStyle w:val="1070"/>
        <w:spacing w:line="360" w:lineRule="auto"/>
        <w:tabs>
          <w:tab w:val="left" w:pos="360" w:leader="none"/>
          <w:tab w:val="left" w:pos="900" w:leader="none"/>
          <w:tab w:val="left" w:pos="1080" w:leader="none"/>
          <w:tab w:val="left" w:pos="2014" w:leader="none"/>
        </w:tabs>
        <w:rPr>
          <w:rFonts w:ascii="宋体" w:hAnsi="宋体"/>
          <w:sz w:val="24"/>
        </w:rPr>
      </w:pPr>
      <w:r>
        <w:rPr>
          <w:rFonts w:ascii="宋体" w:hAnsi="宋体"/>
          <w:sz w:val="24"/>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258"/>
        <w:gridCol w:w="882"/>
        <w:gridCol w:w="3288"/>
        <w:gridCol w:w="2902"/>
      </w:tblGrid>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序号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评分因素</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分值</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
                <w:sz w:val="24"/>
                <w:lang w:bidi="ar"/>
              </w:rPr>
              <w:t xml:space="preserve">评分标准</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132"/>
              <w:jc w:val="center"/>
              <w:spacing w:before="0" w:beforeAutospacing="0" w:after="0" w:afterAutospacing="0"/>
              <w:widowControl w:val="off"/>
              <w:rPr>
                <w:rFonts w:hint="eastAsia"/>
              </w:rPr>
            </w:pPr>
            <w:r>
              <w:rPr>
                <w:rFonts w:hint="eastAsia"/>
                <w:b/>
                <w:lang w:bidi="ar"/>
              </w:rPr>
              <w:t xml:space="preserve">说明</w:t>
            </w:r>
            <w:r>
              <w:rPr>
                <w:rFonts w:hint="eastAsia"/>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b/>
                <w:sz w:val="24"/>
              </w:rPr>
            </w:pPr>
            <w:r>
              <w:rPr>
                <w:rFonts w:hint="eastAsia" w:ascii="宋体" w:hAnsi="宋体" w:cs="宋体"/>
                <w:bCs/>
                <w:sz w:val="24"/>
                <w:lang w:bidi="ar"/>
              </w:rPr>
              <w:t xml:space="preserve">1</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价格分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30</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exact"/>
              <w:rPr>
                <w:rFonts w:hint="eastAsia" w:ascii="宋体" w:hAnsi="宋体" w:cs="宋体"/>
                <w:sz w:val="24"/>
              </w:rPr>
            </w:pPr>
            <w:r/>
            <w:bookmarkStart w:id="814" w:name="OLE_LINK22"/>
            <w:r>
              <w:rPr>
                <w:rFonts w:hint="eastAsia" w:ascii="宋体" w:hAnsi="宋体" w:cs="宋体"/>
                <w:sz w:val="24"/>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sz w:val="24"/>
              </w:rPr>
            </w:r>
            <w:r/>
          </w:p>
          <w:p>
            <w:pPr>
              <w:pStyle w:val="1070"/>
              <w:spacing w:line="360" w:lineRule="exact"/>
              <w:rPr>
                <w:rFonts w:hint="eastAsia" w:ascii="宋体" w:hAnsi="宋体" w:cs="宋体"/>
                <w:b/>
                <w:sz w:val="24"/>
              </w:rPr>
            </w:pPr>
            <w:r>
              <w:rPr>
                <w:rFonts w:hint="eastAsia" w:ascii="宋体" w:hAnsi="宋体" w:cs="宋体"/>
                <w:sz w:val="24"/>
                <w:lang w:bidi="ar"/>
              </w:rPr>
              <w:t xml:space="preserve">投标报价得分=（评标基准价/投标报价）*30</w:t>
            </w:r>
            <w:bookmarkEnd w:id="814"/>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jc w:val="left"/>
              <w:spacing w:line="360" w:lineRule="auto"/>
              <w:widowControl/>
              <w:rPr>
                <w:rFonts w:hint="eastAsia" w:ascii="宋体" w:hAnsi="宋体" w:cs="宋体"/>
                <w:sz w:val="24"/>
              </w:rPr>
            </w:pPr>
            <w:r/>
            <w:bookmarkStart w:id="815" w:name="OLE_LINK23"/>
            <w:r>
              <w:rPr>
                <w:rFonts w:hint="eastAsia" w:ascii="宋体" w:hAnsi="宋体" w:cs="宋体"/>
                <w:sz w:val="24"/>
              </w:rPr>
              <w:t xml:space="preserve">此处投标报价指经过报价修正，及因落实政府采购政策进行价格调整后的报价，详见第四章《评标方法和评标标准》</w:t>
            </w:r>
            <w:bookmarkEnd w:id="815"/>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客观分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41</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需求响应</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25</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jc w:val="left"/>
              <w:spacing w:line="360" w:lineRule="atLeast"/>
              <w:rPr>
                <w:rFonts w:ascii="宋体" w:hAnsi="宋体" w:cs="宋体"/>
                <w:sz w:val="24"/>
                <w:szCs w:val="21"/>
                <w:lang w:val="zh-CN" w:bidi="zh-CN"/>
              </w:rPr>
            </w:pPr>
            <w:r>
              <w:rPr>
                <w:rFonts w:hint="eastAsia" w:ascii="宋体" w:hAnsi="宋体" w:cs="宋体"/>
                <w:sz w:val="24"/>
                <w:szCs w:val="21"/>
                <w:lang w:val="zh-CN" w:bidi="zh-CN"/>
              </w:rPr>
              <w:t xml:space="preserve">投标人对采购文件第五章</w:t>
            </w:r>
            <w:r>
              <w:rPr>
                <w:rFonts w:hint="eastAsia" w:ascii="宋体" w:hAnsi="宋体" w:cs="宋体"/>
                <w:sz w:val="24"/>
                <w:szCs w:val="21"/>
              </w:rPr>
              <w:t xml:space="preserve">采购需求三、技术要求</w:t>
            </w:r>
            <w:r>
              <w:rPr>
                <w:rFonts w:hint="eastAsia" w:ascii="宋体" w:hAnsi="宋体" w:cs="宋体"/>
                <w:sz w:val="24"/>
                <w:szCs w:val="21"/>
                <w:lang w:bidi="zh-CN"/>
              </w:rPr>
              <w:t xml:space="preserve">中“2.技术参数”</w:t>
            </w:r>
            <w:r>
              <w:rPr>
                <w:rFonts w:hint="eastAsia" w:ascii="宋体" w:hAnsi="宋体" w:cs="宋体"/>
                <w:sz w:val="24"/>
                <w:szCs w:val="21"/>
                <w:lang w:val="zh-CN" w:bidi="zh-CN"/>
              </w:rPr>
              <w:t xml:space="preserve">的响应程度：</w:t>
            </w:r>
            <w:r>
              <w:rPr>
                <w:rFonts w:ascii="宋体" w:hAnsi="宋体" w:cs="宋体"/>
                <w:sz w:val="24"/>
                <w:szCs w:val="21"/>
                <w:lang w:val="zh-CN" w:bidi="zh-CN"/>
              </w:rPr>
            </w:r>
            <w:r/>
          </w:p>
          <w:p>
            <w:pPr>
              <w:pStyle w:val="1070"/>
              <w:spacing w:line="360" w:lineRule="atLeast"/>
              <w:rPr>
                <w:rFonts w:ascii="宋体" w:hAnsi="宋体" w:cs="宋体"/>
                <w:sz w:val="24"/>
                <w:szCs w:val="21"/>
                <w:lang w:val="zh-CN" w:bidi="zh-CN"/>
              </w:rPr>
            </w:pPr>
            <w:r>
              <w:rPr>
                <w:rFonts w:hint="eastAsia" w:ascii="宋体" w:hAnsi="宋体" w:cs="宋体"/>
                <w:sz w:val="24"/>
                <w:szCs w:val="21"/>
                <w:lang w:val="zh-CN" w:bidi="zh-CN"/>
              </w:rPr>
              <w:t xml:space="preserve">全部响应即满足</w:t>
            </w:r>
            <w:r>
              <w:rPr>
                <w:rFonts w:hint="eastAsia" w:ascii="宋体" w:hAnsi="宋体" w:cs="宋体"/>
                <w:sz w:val="24"/>
                <w:szCs w:val="21"/>
                <w:lang w:bidi="zh-CN"/>
              </w:rPr>
              <w:t xml:space="preserve">中技术参数</w:t>
            </w:r>
            <w:r>
              <w:rPr>
                <w:rFonts w:hint="eastAsia" w:ascii="宋体" w:hAnsi="宋体" w:cs="宋体"/>
                <w:sz w:val="24"/>
                <w:szCs w:val="21"/>
                <w:lang w:val="zh-CN" w:bidi="zh-CN"/>
              </w:rPr>
              <w:t xml:space="preserve">的得</w:t>
            </w:r>
            <w:r>
              <w:rPr>
                <w:rFonts w:hint="eastAsia" w:ascii="宋体" w:hAnsi="宋体" w:cs="宋体"/>
                <w:sz w:val="24"/>
                <w:szCs w:val="21"/>
                <w:lang w:bidi="zh-CN"/>
              </w:rPr>
              <w:t xml:space="preserve">25</w:t>
            </w:r>
            <w:r>
              <w:rPr>
                <w:rFonts w:hint="eastAsia" w:ascii="宋体" w:hAnsi="宋体" w:cs="宋体"/>
                <w:sz w:val="24"/>
                <w:szCs w:val="21"/>
                <w:lang w:val="zh-CN" w:bidi="zh-CN"/>
              </w:rPr>
              <w:t xml:space="preserve">分，有</w:t>
            </w:r>
            <w:r>
              <w:rPr>
                <w:rFonts w:hint="eastAsia" w:ascii="宋体" w:hAnsi="宋体" w:cs="宋体"/>
                <w:sz w:val="24"/>
                <w:szCs w:val="21"/>
                <w:lang w:bidi="zh-CN"/>
              </w:rPr>
              <w:t xml:space="preserve">一</w:t>
            </w:r>
            <w:r>
              <w:rPr>
                <w:rFonts w:hint="eastAsia" w:ascii="宋体" w:hAnsi="宋体" w:cs="宋体"/>
                <w:sz w:val="24"/>
                <w:szCs w:val="21"/>
                <w:lang w:val="zh-CN" w:bidi="zh-CN"/>
              </w:rPr>
              <w:t xml:space="preserve">项负偏离扣</w:t>
            </w:r>
            <w:r>
              <w:rPr>
                <w:rFonts w:hint="eastAsia" w:ascii="宋体" w:hAnsi="宋体" w:cs="宋体"/>
                <w:sz w:val="24"/>
                <w:szCs w:val="21"/>
                <w:lang w:bidi="zh-CN"/>
              </w:rPr>
              <w:t xml:space="preserve">5</w:t>
            </w:r>
            <w:r>
              <w:rPr>
                <w:rFonts w:hint="eastAsia" w:ascii="宋体" w:hAnsi="宋体" w:cs="宋体"/>
                <w:sz w:val="24"/>
                <w:szCs w:val="21"/>
                <w:lang w:val="zh-CN" w:bidi="zh-CN"/>
              </w:rPr>
              <w:t xml:space="preserve">分，扣完为止。</w:t>
            </w:r>
            <w:r>
              <w:rPr>
                <w:rFonts w:ascii="宋体" w:hAnsi="宋体" w:cs="宋体"/>
                <w:sz w:val="24"/>
                <w:szCs w:val="21"/>
                <w:lang w:val="zh-CN" w:bidi="zh-CN"/>
              </w:rPr>
            </w:r>
            <w:r/>
          </w:p>
          <w:p>
            <w:pPr>
              <w:pStyle w:val="1070"/>
              <w:spacing w:line="360" w:lineRule="atLeast"/>
              <w:rPr>
                <w:rFonts w:ascii="宋体" w:hAnsi="宋体" w:cs="宋体"/>
                <w:sz w:val="24"/>
                <w:szCs w:val="21"/>
                <w:lang w:bidi="zh-CN"/>
              </w:rPr>
            </w:pPr>
            <w:r>
              <w:rPr>
                <w:rFonts w:hint="eastAsia" w:ascii="宋体" w:hAnsi="宋体" w:cs="宋体"/>
                <w:sz w:val="24"/>
                <w:szCs w:val="21"/>
                <w:lang w:bidi="zh-CN"/>
              </w:rPr>
              <w:t xml:space="preserve">注：按技术参数要求提供对应的证明材料，否则视为负偏离。</w:t>
            </w:r>
            <w:r>
              <w:rPr>
                <w:rFonts w:ascii="宋体" w:hAnsi="宋体" w:cs="宋体"/>
                <w:sz w:val="24"/>
                <w:szCs w:val="21"/>
                <w:lang w:bidi="zh-CN"/>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lang w:val="zh-CN" w:bidi="zh-CN"/>
              </w:rPr>
              <w:t xml:space="preserve">提供</w:t>
            </w:r>
            <w:r>
              <w:rPr>
                <w:rFonts w:hint="eastAsia" w:ascii="宋体" w:hAnsi="宋体" w:cs="宋体"/>
                <w:sz w:val="24"/>
                <w:szCs w:val="21"/>
                <w:lang w:bidi="zh-CN"/>
              </w:rPr>
              <w:t xml:space="preserve">有关证明材料</w:t>
            </w:r>
            <w:r>
              <w:rPr>
                <w:rFonts w:hint="eastAsia" w:ascii="宋体" w:hAnsi="宋体" w:cs="宋体"/>
                <w:sz w:val="24"/>
                <w:szCs w:val="21"/>
                <w:lang w:val="zh-CN" w:bidi="zh-CN"/>
              </w:rPr>
              <w:t xml:space="preserve">复印件加盖投标人公章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业绩</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lang w:val="zh-CN" w:bidi="zh-CN"/>
              </w:rPr>
              <w:t xml:space="preserve">投标人或所投产品生产厂家自</w:t>
            </w:r>
            <w:r>
              <w:rPr>
                <w:rFonts w:hint="eastAsia" w:ascii="宋体" w:hAnsi="宋体" w:cs="宋体"/>
                <w:sz w:val="24"/>
                <w:szCs w:val="21"/>
                <w:shd w:val="clear" w:color="auto" w:fill="ffffff"/>
                <w:lang w:val="zh-CN" w:bidi="zh-CN"/>
              </w:rPr>
              <w:t xml:space="preserve">202</w:t>
            </w:r>
            <w:r>
              <w:rPr>
                <w:rFonts w:hint="eastAsia" w:ascii="宋体" w:hAnsi="宋体" w:cs="宋体"/>
                <w:sz w:val="24"/>
                <w:szCs w:val="21"/>
                <w:shd w:val="clear" w:color="auto" w:fill="ffffff"/>
                <w:lang w:bidi="zh-CN"/>
              </w:rPr>
              <w:t xml:space="preserve">2</w:t>
            </w:r>
            <w:r>
              <w:rPr>
                <w:rFonts w:hint="eastAsia" w:ascii="宋体" w:hAnsi="宋体" w:cs="宋体"/>
                <w:sz w:val="24"/>
                <w:szCs w:val="21"/>
                <w:shd w:val="clear" w:color="auto" w:fill="ffffff"/>
                <w:lang w:val="zh-CN" w:bidi="zh-CN"/>
              </w:rPr>
              <w:t xml:space="preserve">年</w:t>
            </w:r>
            <w:r>
              <w:rPr>
                <w:rFonts w:hint="eastAsia" w:ascii="宋体" w:hAnsi="宋体" w:cs="宋体"/>
                <w:sz w:val="24"/>
                <w:szCs w:val="21"/>
                <w:shd w:val="clear" w:color="auto" w:fill="ffffff"/>
                <w:lang w:bidi="zh-CN"/>
              </w:rPr>
              <w:t xml:space="preserve">1</w:t>
            </w:r>
            <w:r>
              <w:rPr>
                <w:rFonts w:hint="eastAsia" w:ascii="宋体" w:hAnsi="宋体" w:cs="宋体"/>
                <w:sz w:val="24"/>
                <w:szCs w:val="21"/>
                <w:shd w:val="clear" w:color="auto" w:fill="ffffff"/>
                <w:lang w:val="zh-CN" w:bidi="zh-CN"/>
              </w:rPr>
              <w:t xml:space="preserve">月1日(含)以来承担过所投产品供应</w:t>
            </w:r>
            <w:r>
              <w:rPr>
                <w:rFonts w:hint="eastAsia" w:ascii="宋体" w:hAnsi="宋体" w:cs="宋体"/>
                <w:sz w:val="24"/>
                <w:szCs w:val="21"/>
                <w:shd w:val="clear" w:color="auto" w:fill="ffffff"/>
                <w:lang w:bidi="zh-CN"/>
              </w:rPr>
              <w:t xml:space="preserve">业绩</w:t>
            </w:r>
            <w:r>
              <w:rPr>
                <w:rFonts w:hint="eastAsia" w:ascii="宋体" w:hAnsi="宋体" w:cs="宋体"/>
                <w:sz w:val="24"/>
                <w:szCs w:val="21"/>
                <w:lang w:val="zh-CN" w:bidi="zh-CN"/>
              </w:rPr>
              <w:t xml:space="preserve">的，每提供1个</w:t>
            </w:r>
            <w:r>
              <w:rPr>
                <w:rFonts w:hint="eastAsia" w:ascii="宋体" w:hAnsi="宋体" w:cs="宋体"/>
                <w:sz w:val="24"/>
                <w:szCs w:val="21"/>
                <w:lang w:bidi="zh-CN"/>
              </w:rPr>
              <w:t xml:space="preserve">业绩</w:t>
            </w:r>
            <w:r>
              <w:rPr>
                <w:rFonts w:hint="eastAsia" w:ascii="宋体" w:hAnsi="宋体" w:cs="宋体"/>
                <w:sz w:val="24"/>
                <w:szCs w:val="21"/>
                <w:lang w:val="zh-CN" w:bidi="zh-CN"/>
              </w:rPr>
              <w:t xml:space="preserve">得1分，最高得5分。</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lang w:bidi="zh-CN"/>
              </w:rPr>
              <w:t xml:space="preserve">以合同签订时间为准，</w:t>
            </w:r>
            <w:r>
              <w:rPr>
                <w:rFonts w:hint="eastAsia" w:ascii="宋体" w:hAnsi="宋体" w:cs="宋体"/>
                <w:sz w:val="24"/>
                <w:szCs w:val="21"/>
                <w:lang w:val="zh-CN" w:bidi="zh-CN"/>
              </w:rPr>
              <w:t xml:space="preserve">提供</w:t>
            </w:r>
            <w:r>
              <w:rPr>
                <w:rFonts w:hint="eastAsia" w:ascii="宋体" w:hAnsi="宋体" w:cs="宋体"/>
                <w:sz w:val="24"/>
                <w:szCs w:val="21"/>
                <w:lang w:bidi="zh-CN"/>
              </w:rPr>
              <w:t xml:space="preserve">合同复印件加盖</w:t>
            </w:r>
            <w:r>
              <w:rPr>
                <w:rFonts w:hint="eastAsia" w:ascii="宋体" w:hAnsi="宋体" w:cs="宋体"/>
                <w:sz w:val="24"/>
                <w:szCs w:val="21"/>
                <w:lang w:val="zh-CN" w:bidi="zh-CN"/>
              </w:rPr>
              <w:t xml:space="preserve">投标人</w:t>
            </w:r>
            <w:r>
              <w:rPr>
                <w:rFonts w:hint="eastAsia" w:ascii="宋体" w:hAnsi="宋体" w:cs="宋体"/>
                <w:sz w:val="24"/>
                <w:szCs w:val="21"/>
                <w:lang w:bidi="zh-CN"/>
              </w:rPr>
              <w:t xml:space="preserve">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2.3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管理体系</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3</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lang w:val="zh-CN" w:bidi="zh-CN"/>
              </w:rPr>
              <w:t xml:space="preserve">投标人或所投产品生产厂家具有有效的质量管理体系认证证书、环境管理体系认证证书、职业健康管理体系认证证书，每提供1项得1分，满分3分。</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rPr>
              <w:t xml:space="preserve">提供证书复印件加盖</w:t>
            </w:r>
            <w:r>
              <w:rPr>
                <w:rFonts w:hint="eastAsia" w:ascii="宋体" w:hAnsi="宋体" w:cs="宋体"/>
                <w:sz w:val="24"/>
                <w:szCs w:val="21"/>
                <w:lang w:val="zh-CN" w:bidi="zh-CN"/>
              </w:rPr>
              <w:t xml:space="preserve">投标人</w:t>
            </w:r>
            <w:r>
              <w:rPr>
                <w:rFonts w:hint="eastAsia" w:ascii="宋体" w:hAnsi="宋体" w:cs="宋体"/>
                <w:sz w:val="24"/>
                <w:szCs w:val="21"/>
              </w:rPr>
              <w:t xml:space="preserve">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.4</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contextualSpacing/>
              <w:jc w:val="center"/>
              <w:spacing w:line="360" w:lineRule="atLeast"/>
              <w:widowControl/>
              <w:rPr>
                <w:rFonts w:ascii="宋体" w:hAnsi="宋体" w:cs="宋体"/>
                <w:sz w:val="24"/>
                <w:szCs w:val="21"/>
                <w:lang w:val="zh-CN" w:bidi="zh-CN"/>
              </w:rPr>
            </w:pPr>
            <w:r>
              <w:rPr>
                <w:rFonts w:hint="eastAsia" w:ascii="宋体" w:hAnsi="宋体" w:cs="宋体"/>
                <w:sz w:val="24"/>
                <w:szCs w:val="21"/>
                <w:lang w:val="zh-CN" w:bidi="zh-CN"/>
              </w:rPr>
              <w:t xml:space="preserve">质保承诺</w:t>
            </w:r>
            <w:r>
              <w:rPr>
                <w:rFonts w:ascii="宋体" w:hAnsi="宋体" w:cs="宋体"/>
                <w:sz w:val="24"/>
                <w:szCs w:val="21"/>
                <w:lang w:val="zh-CN" w:bidi="zh-CN"/>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2</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lang w:val="zh-CN" w:bidi="zh-CN"/>
              </w:rPr>
              <w:t xml:space="preserve">投标人承诺送货食品至少距保质期结束时间1/2及以上，且保质期内可以调换的得</w:t>
            </w:r>
            <w:r>
              <w:rPr>
                <w:rFonts w:hint="eastAsia" w:ascii="宋体" w:hAnsi="宋体" w:cs="宋体"/>
                <w:sz w:val="24"/>
                <w:szCs w:val="21"/>
                <w:lang w:bidi="zh-CN"/>
              </w:rPr>
              <w:t xml:space="preserve">2</w:t>
            </w:r>
            <w:r>
              <w:rPr>
                <w:rFonts w:hint="eastAsia" w:ascii="宋体" w:hAnsi="宋体" w:cs="宋体"/>
                <w:sz w:val="24"/>
                <w:szCs w:val="21"/>
                <w:lang w:val="zh-CN" w:bidi="zh-CN"/>
              </w:rPr>
              <w:t xml:space="preserve">分。</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lang w:val="zh-CN" w:bidi="zh-CN"/>
              </w:rPr>
              <w:t xml:space="preserve">提供承诺书</w:t>
            </w:r>
            <w:r>
              <w:rPr>
                <w:rFonts w:hint="eastAsia" w:ascii="宋体" w:hAnsi="宋体" w:cs="宋体"/>
                <w:sz w:val="24"/>
                <w:szCs w:val="21"/>
              </w:rPr>
              <w:t xml:space="preserve">加盖公章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.5</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contextualSpacing/>
              <w:jc w:val="center"/>
              <w:spacing w:line="360" w:lineRule="atLeast"/>
              <w:widowControl/>
              <w:rPr>
                <w:rFonts w:ascii="宋体" w:hAnsi="宋体" w:cs="宋体"/>
                <w:sz w:val="24"/>
                <w:szCs w:val="21"/>
                <w:lang w:val="zh-CN" w:bidi="zh-CN"/>
              </w:rPr>
            </w:pPr>
            <w:r>
              <w:rPr>
                <w:rFonts w:hint="eastAsia" w:ascii="宋体" w:hAnsi="宋体" w:cs="宋体"/>
                <w:sz w:val="24"/>
                <w:szCs w:val="21"/>
                <w:lang w:bidi="zh-CN"/>
              </w:rPr>
              <w:t xml:space="preserve">技术支持</w:t>
            </w:r>
            <w:r>
              <w:rPr>
                <w:rFonts w:ascii="宋体" w:hAnsi="宋体" w:cs="宋体"/>
                <w:sz w:val="24"/>
                <w:szCs w:val="21"/>
                <w:lang w:val="zh-CN" w:bidi="zh-CN"/>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szCs w:val="21"/>
              </w:rPr>
            </w:pPr>
            <w:r>
              <w:rPr>
                <w:rFonts w:hint="eastAsia" w:ascii="宋体" w:hAnsi="宋体" w:cs="宋体"/>
                <w:sz w:val="24"/>
                <w:szCs w:val="21"/>
              </w:rPr>
              <w:t xml:space="preserve">5</w:t>
            </w:r>
            <w:r>
              <w:rPr>
                <w:rFonts w:ascii="宋体" w:hAnsi="宋体" w:cs="宋体"/>
                <w:sz w:val="24"/>
                <w:szCs w:val="21"/>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sz w:val="24"/>
                <w:szCs w:val="21"/>
                <w:lang w:val="zh-CN" w:bidi="zh-CN"/>
              </w:rPr>
            </w:pPr>
            <w:r>
              <w:rPr>
                <w:rFonts w:hint="eastAsia" w:ascii="宋体" w:hAnsi="宋体" w:cs="宋体"/>
                <w:sz w:val="24"/>
                <w:szCs w:val="21"/>
              </w:rPr>
              <w:t xml:space="preserve">投标产品厂家在研的特殊医学用途配方食品后续临床试验意向与本院营养科合作，开展临床试验，提供在研产品介绍，意向合作得5分，需签订在合同内。</w:t>
            </w:r>
            <w:r>
              <w:rPr>
                <w:rFonts w:ascii="宋体" w:hAnsi="宋体" w:cs="宋体"/>
                <w:sz w:val="24"/>
                <w:szCs w:val="21"/>
                <w:lang w:val="zh-CN" w:bidi="zh-CN"/>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spacing w:line="360" w:lineRule="atLeast"/>
              <w:rPr>
                <w:rFonts w:ascii="宋体" w:hAnsi="宋体" w:cs="宋体"/>
                <w:sz w:val="24"/>
                <w:szCs w:val="21"/>
              </w:rPr>
            </w:pPr>
            <w:r>
              <w:rPr>
                <w:rFonts w:hint="eastAsia" w:ascii="宋体" w:hAnsi="宋体" w:cs="宋体"/>
                <w:sz w:val="24"/>
                <w:szCs w:val="21"/>
              </w:rPr>
              <w:t xml:space="preserve">提供承诺书加盖公章</w:t>
            </w:r>
            <w:r>
              <w:rPr>
                <w:rFonts w:ascii="宋体" w:hAnsi="宋体" w:cs="宋体"/>
                <w:sz w:val="24"/>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lang w:bidi="ar"/>
              </w:rPr>
            </w:pPr>
            <w:r>
              <w:rPr>
                <w:rFonts w:hint="eastAsia" w:ascii="宋体" w:hAnsi="宋体" w:cs="宋体"/>
                <w:sz w:val="24"/>
                <w:lang w:bidi="ar"/>
              </w:rPr>
              <w:t xml:space="preserve">2</w:t>
            </w:r>
            <w:r>
              <w:rPr>
                <w:rFonts w:ascii="宋体" w:hAnsi="宋体" w:cs="宋体"/>
                <w:sz w:val="24"/>
                <w:lang w:bidi="ar"/>
              </w:rPr>
              <w:t xml:space="preserve">.6</w:t>
            </w:r>
            <w:r>
              <w:rPr>
                <w:rFonts w:hint="eastAsia"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bookmarkStart w:id="816" w:name="OLE_LINK30"/>
            <w:r>
              <w:rPr>
                <w:rFonts w:hint="eastAsia" w:ascii="宋体" w:hAnsi="宋体" w:cs="宋体"/>
                <w:sz w:val="24"/>
                <w:lang w:bidi="ar"/>
              </w:rPr>
              <w:t xml:space="preserve">政府采购政策功能性得</w:t>
            </w:r>
            <w:bookmarkEnd w:id="816"/>
            <w:r>
              <w:rPr>
                <w:rFonts w:hint="eastAsia" w:ascii="宋体" w:hAnsi="宋体" w:cs="宋体"/>
                <w:sz w:val="24"/>
                <w:lang w:bidi="ar"/>
              </w:rPr>
              <w:t xml:space="preserve">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132"/>
              <w:spacing w:before="0" w:beforeAutospacing="0" w:after="0" w:afterAutospacing="0" w:line="360" w:lineRule="exact"/>
              <w:widowControl w:val="off"/>
              <w:rPr>
                <w:rFonts w:hint="eastAsia"/>
              </w:rPr>
            </w:pPr>
            <w:r/>
            <w:bookmarkStart w:id="817" w:name="OLE_LINK31"/>
            <w:r>
              <w:rPr>
                <w:rFonts w:hint="eastAsia"/>
                <w:lang w:bidi="ar"/>
              </w:rPr>
              <w:t xml:space="preserve">招标主要产品属财政部和发改委公布的《节能产品政府采购品目清单》的，得0.5分；招标主要产品属财政部和国家环境保护部公布的《环境标志产品政府采购品目清单》的，得0.5分。提供国家确定的认证机构出具的、处于有效期之内的节能产品、环境标志产品认证证书。</w:t>
            </w:r>
            <w:bookmarkEnd w:id="817"/>
            <w:r>
              <w:rPr>
                <w:rFonts w:hint="eastAsia"/>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spacing w:line="360" w:lineRule="auto"/>
              <w:widowControl/>
              <w:tabs>
                <w:tab w:val="left" w:pos="1200" w:leader="none"/>
              </w:tabs>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主观分</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lang w:bidi="ar"/>
              </w:rPr>
              <w:t xml:space="preserve">29</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exact"/>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sz w:val="24"/>
              </w:rPr>
            </w:pPr>
            <w:r>
              <w:rPr>
                <w:rFonts w:hint="eastAsia" w:ascii="宋体" w:hAnsi="宋体" w:cs="宋体"/>
                <w:bCs/>
                <w:sz w:val="24"/>
              </w:rPr>
              <w:t xml:space="preserve">整体供货方案</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sz w:val="24"/>
              </w:rPr>
            </w:pPr>
            <w:r>
              <w:rPr>
                <w:rFonts w:hint="eastAsia" w:ascii="宋体" w:hAnsi="宋体" w:cs="宋体"/>
                <w:bCs/>
                <w:sz w:val="24"/>
              </w:rPr>
              <w:t xml:space="preserve">整体供货方案</w:t>
            </w:r>
            <w:r>
              <w:rPr>
                <w:rFonts w:hint="eastAsia" w:ascii="宋体" w:hAnsi="宋体" w:cs="宋体"/>
                <w:sz w:val="24"/>
              </w:rPr>
              <w:t xml:space="preserve">，包括</w:t>
            </w:r>
            <w:r>
              <w:rPr>
                <w:rFonts w:hint="eastAsia" w:ascii="宋体" w:hAnsi="宋体" w:cs="宋体"/>
                <w:bCs/>
                <w:sz w:val="24"/>
              </w:rPr>
              <w:t xml:space="preserve">供货流程、供货周期、供货量、货源保障措施等</w:t>
            </w:r>
            <w:r>
              <w:rPr>
                <w:rFonts w:hint="eastAsia" w:ascii="宋体" w:hAnsi="宋体" w:cs="宋体"/>
                <w:sz w:val="24"/>
              </w:rPr>
              <w:t xml:space="preserve">。</w:t>
            </w:r>
            <w:r>
              <w:rPr>
                <w:rFonts w:ascii="宋体" w:hAnsi="宋体" w:cs="宋体"/>
                <w:sz w:val="24"/>
              </w:rPr>
            </w:r>
            <w:r/>
          </w:p>
          <w:p>
            <w:pPr>
              <w:pStyle w:val="1070"/>
              <w:spacing w:line="360" w:lineRule="atLeast"/>
              <w:rPr>
                <w:rFonts w:ascii="宋体" w:hAnsi="宋体" w:cs="宋体"/>
                <w:sz w:val="24"/>
              </w:rPr>
            </w:pPr>
            <w:r>
              <w:rPr>
                <w:rFonts w:hint="eastAsia" w:ascii="宋体" w:hAnsi="宋体" w:cs="宋体"/>
                <w:bCs/>
                <w:sz w:val="24"/>
              </w:rPr>
              <w:t xml:space="preserve">详细描述了供货流程、供货周期、供货量、货源保障措施等，能够确保供货的稳定性和及时性得5分；基本描述了供货的主要环节和流程，但在某些细节或保障措施上有所欠缺或有缺失得3分；简单提及了供货方案的基本框架，缺乏具体内容和细节得1分；未提供或提供的方案与本项目合同履行无关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sz w:val="24"/>
              </w:rPr>
            </w:pPr>
            <w:r>
              <w:rPr>
                <w:rFonts w:hint="eastAsia" w:ascii="宋体" w:hAnsi="宋体" w:cs="宋体"/>
                <w:bCs/>
                <w:sz w:val="24"/>
              </w:rPr>
              <w:t xml:space="preserve">运输时限和运输方式</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bCs/>
                <w:sz w:val="24"/>
              </w:rPr>
            </w:pPr>
            <w:r>
              <w:rPr>
                <w:rFonts w:hint="eastAsia" w:ascii="宋体" w:hAnsi="宋体" w:cs="宋体"/>
                <w:bCs/>
                <w:sz w:val="24"/>
              </w:rPr>
              <w:t xml:space="preserve">运输时限和运输方式，包括运输时限、运输方式、运输责任划分及运输中的安全保障措施。</w:t>
            </w:r>
            <w:r>
              <w:rPr>
                <w:rFonts w:ascii="宋体" w:hAnsi="宋体" w:cs="宋体"/>
                <w:bCs/>
                <w:sz w:val="24"/>
              </w:rPr>
            </w:r>
            <w:r/>
          </w:p>
          <w:p>
            <w:pPr>
              <w:pStyle w:val="1070"/>
              <w:spacing w:line="360" w:lineRule="atLeast"/>
              <w:rPr>
                <w:rFonts w:ascii="宋体" w:hAnsi="宋体" w:cs="宋体"/>
                <w:sz w:val="24"/>
              </w:rPr>
            </w:pPr>
            <w:r>
              <w:rPr>
                <w:rFonts w:hint="eastAsia" w:ascii="宋体" w:hAnsi="宋体" w:cs="宋体"/>
                <w:bCs/>
                <w:sz w:val="24"/>
              </w:rPr>
              <w:t xml:space="preserve">明确规定了供应产品的运输时限、运输方式（如空运、海运、陆运等）、运输责任划分及运输中的安全保障措施得5分；规定了主要的运输时限和运输方式，但在某些保障措施上不够全面或有缺失得3分；仅简单提及了运输时限和方式，缺乏具体的执行细节得1分</w:t>
            </w:r>
            <w:r>
              <w:rPr>
                <w:rFonts w:hint="eastAsia" w:ascii="宋体" w:hAnsi="宋体" w:cs="宋体"/>
                <w:sz w:val="24"/>
              </w:rPr>
              <w:t xml:space="preserve">；未提供不得分。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jc w:val="center"/>
              <w:widowControl/>
              <w:rPr>
                <w:rFonts w:ascii="宋体" w:hAnsi="宋体" w:cs="宋体"/>
                <w:sz w:val="24"/>
                <w:lang w:bidi="ar"/>
              </w:rPr>
            </w:pPr>
            <w:r>
              <w:rPr>
                <w:rFonts w:hint="eastAsia" w:ascii="宋体" w:hAnsi="宋体" w:cs="宋体"/>
                <w:sz w:val="24"/>
                <w:lang w:bidi="ar"/>
              </w:rPr>
              <w:t xml:space="preserve">3.3</w:t>
            </w:r>
            <w:r>
              <w:rPr>
                <w:rFonts w:ascii="宋体" w:hAnsi="宋体" w:cs="宋体"/>
                <w:sz w:val="24"/>
                <w:lang w:bidi="ar"/>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bCs/>
                <w:sz w:val="24"/>
              </w:rPr>
            </w:pPr>
            <w:r>
              <w:rPr>
                <w:rFonts w:hint="eastAsia" w:ascii="宋体" w:hAnsi="宋体" w:cs="宋体"/>
                <w:bCs/>
                <w:sz w:val="24"/>
              </w:rPr>
              <w:t xml:space="preserve">退换缺陷产品措施</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bCs/>
                <w:sz w:val="24"/>
              </w:rPr>
            </w:pPr>
            <w:r>
              <w:rPr>
                <w:rFonts w:hint="eastAsia" w:ascii="宋体" w:hAnsi="宋体" w:cs="宋体"/>
                <w:bCs/>
                <w:sz w:val="24"/>
              </w:rPr>
              <w:t xml:space="preserve">退换缺陷产品措施，包括缺陷产品的识别方法、退换流程、退换时限、责任划分及赔偿措施等。</w:t>
            </w:r>
            <w:r>
              <w:rPr>
                <w:rFonts w:ascii="宋体" w:hAnsi="宋体" w:cs="宋体"/>
                <w:bCs/>
                <w:sz w:val="24"/>
              </w:rPr>
            </w:r>
            <w:r/>
          </w:p>
          <w:p>
            <w:pPr>
              <w:pStyle w:val="1070"/>
              <w:jc w:val="left"/>
              <w:spacing w:line="360" w:lineRule="atLeast"/>
              <w:tabs>
                <w:tab w:val="left" w:pos="1401" w:leader="none"/>
              </w:tabs>
              <w:rPr>
                <w:rFonts w:ascii="宋体" w:hAnsi="宋体" w:cs="宋体"/>
                <w:bCs/>
                <w:sz w:val="24"/>
              </w:rPr>
            </w:pPr>
            <w:r>
              <w:rPr>
                <w:rFonts w:hint="eastAsia" w:ascii="宋体" w:hAnsi="宋体" w:cs="宋体"/>
                <w:bCs/>
                <w:sz w:val="24"/>
              </w:rPr>
              <w:t xml:space="preserve">详细描述了缺陷产品的识别方法、退换流程、退换时限、责任划分及赔偿措施等得5分；基本描述了退换缺陷产品的主要环节和流程，但在某些赔偿措施上有所欠缺或有缺失得3分；仅简单提及了退换措施的基本框架，缺乏具体内容和细节得1分；未提供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lang w:bidi="ar"/>
              </w:rPr>
              <w:t xml:space="preserve">3.4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bCs/>
                <w:sz w:val="24"/>
              </w:rPr>
            </w:pPr>
            <w:r>
              <w:rPr>
                <w:rFonts w:hint="eastAsia" w:ascii="宋体" w:hAnsi="宋体" w:cs="宋体"/>
                <w:bCs/>
                <w:sz w:val="24"/>
              </w:rPr>
              <w:t xml:space="preserve">对产品的食用意见及反馈时间方案</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bCs/>
                <w:sz w:val="24"/>
              </w:rPr>
            </w:pPr>
            <w:r>
              <w:rPr>
                <w:rFonts w:hint="eastAsia" w:ascii="宋体" w:hAnsi="宋体" w:cs="宋体"/>
                <w:bCs/>
                <w:sz w:val="24"/>
              </w:rPr>
              <w:t xml:space="preserve">对产品的食用意见及反馈时间方案，包括产品食用意见的收集渠道、反馈机制、处理流程及时限要求等。</w:t>
            </w:r>
            <w:r>
              <w:rPr>
                <w:rFonts w:ascii="宋体" w:hAnsi="宋体" w:cs="宋体"/>
                <w:bCs/>
                <w:sz w:val="24"/>
              </w:rPr>
            </w:r>
            <w:r/>
          </w:p>
          <w:p>
            <w:pPr>
              <w:pStyle w:val="1070"/>
              <w:spacing w:line="360" w:lineRule="atLeast"/>
              <w:rPr>
                <w:rFonts w:ascii="宋体" w:hAnsi="宋体" w:cs="宋体"/>
                <w:bCs/>
                <w:sz w:val="24"/>
              </w:rPr>
            </w:pPr>
            <w:r>
              <w:rPr>
                <w:rFonts w:hint="eastAsia" w:ascii="宋体" w:hAnsi="宋体" w:cs="宋体"/>
                <w:bCs/>
                <w:sz w:val="24"/>
              </w:rPr>
              <w:t xml:space="preserve">建立了产品食用意见的收集渠道、反馈机制、处理流程及时限要求，确保消费者意见能够及时得到处理和回复得5分；基本描述了食用意见及反馈的主要环节和流程，但在某些处理时限上不够全面或有缺失得3分；仅简单提及了食用意见及反馈的基本框架，缺乏具体内容和细节得1分；未提供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jc w:val="center"/>
              <w:widowControl/>
              <w:rPr>
                <w:rFonts w:ascii="宋体" w:hAnsi="宋体" w:cs="宋体"/>
                <w:sz w:val="24"/>
              </w:rPr>
            </w:pPr>
            <w:r>
              <w:rPr>
                <w:rFonts w:hint="eastAsia" w:ascii="宋体" w:hAnsi="宋体" w:cs="宋体"/>
                <w:sz w:val="24"/>
              </w:rPr>
              <w:t xml:space="preserve">3.5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bCs/>
                <w:sz w:val="24"/>
              </w:rPr>
            </w:pPr>
            <w:r>
              <w:rPr>
                <w:rFonts w:hint="eastAsia" w:ascii="宋体" w:hAnsi="宋体" w:cs="宋体"/>
                <w:bCs/>
                <w:sz w:val="24"/>
              </w:rPr>
              <w:t xml:space="preserve">服务网点和售前和售后服务制度</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rPr>
            </w:pPr>
            <w:r>
              <w:rPr>
                <w:rFonts w:hint="eastAsia" w:ascii="宋体" w:hAnsi="宋体" w:cs="宋体"/>
                <w:sz w:val="24"/>
              </w:rPr>
              <w:t xml:space="preserve">5</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bCs/>
                <w:sz w:val="24"/>
              </w:rPr>
            </w:pPr>
            <w:r>
              <w:rPr>
                <w:rFonts w:hint="eastAsia" w:ascii="宋体" w:hAnsi="宋体" w:cs="宋体"/>
                <w:bCs/>
                <w:sz w:val="24"/>
              </w:rPr>
              <w:t xml:space="preserve">服务网点和售前和售后服务制度，包括服务网点的布局、售前咨询和售后服务的内容、流程、时限及保障措施。</w:t>
            </w:r>
            <w:r>
              <w:rPr>
                <w:rFonts w:ascii="宋体" w:hAnsi="宋体" w:cs="宋体"/>
                <w:bCs/>
                <w:sz w:val="24"/>
              </w:rPr>
            </w:r>
            <w:r/>
          </w:p>
          <w:p>
            <w:pPr>
              <w:pStyle w:val="1070"/>
              <w:spacing w:line="360" w:lineRule="atLeast"/>
              <w:rPr>
                <w:rFonts w:ascii="宋体" w:hAnsi="宋体" w:cs="宋体"/>
                <w:bCs/>
                <w:sz w:val="24"/>
              </w:rPr>
            </w:pPr>
            <w:r>
              <w:rPr>
                <w:rFonts w:hint="eastAsia" w:ascii="宋体" w:hAnsi="宋体" w:cs="宋体"/>
                <w:bCs/>
                <w:sz w:val="24"/>
              </w:rPr>
              <w:t xml:space="preserve">详细描述了服务网点的布局、售前咨询和售后服务的内容、流程、时限及保障措施等得5分；基本描述了服务网点和售前售后服务的主要环节和流程，但在某些细节或保障措施上有所欠缺得3分；仅简单提及了服务网点和售前售后服务的基本框架，缺乏具体内容和细节得1分；未提供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tcBorders>
              <w:top w:val="single" w:color="000000" w:sz="4" w:space="0"/>
              <w:left w:val="single" w:color="000000" w:sz="4" w:space="0"/>
              <w:bottom w:val="single" w:color="000000" w:sz="4" w:space="0"/>
              <w:right w:val="single" w:color="000000" w:sz="4" w:space="0"/>
            </w:tcBorders>
            <w:tcW w:w="516" w:type="pct"/>
            <w:vAlign w:val="center"/>
            <w:textDirection w:val="lrTb"/>
            <w:noWrap w:val="false"/>
          </w:tcPr>
          <w:p>
            <w:pPr>
              <w:pStyle w:val="1070"/>
              <w:ind w:firstLine="28"/>
              <w:jc w:val="center"/>
              <w:rPr>
                <w:rFonts w:ascii="宋体" w:hAnsi="宋体" w:cs="宋体"/>
                <w:sz w:val="24"/>
              </w:rPr>
            </w:pPr>
            <w:r>
              <w:rPr>
                <w:rFonts w:hint="eastAsia" w:ascii="宋体" w:hAnsi="宋体" w:cs="宋体"/>
                <w:sz w:val="24"/>
              </w:rPr>
              <w:t xml:space="preserve">3.6</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pStyle w:val="1070"/>
              <w:jc w:val="center"/>
              <w:spacing w:line="360" w:lineRule="atLeast"/>
              <w:rPr>
                <w:rFonts w:ascii="宋体" w:hAnsi="宋体" w:cs="宋体"/>
                <w:bCs/>
                <w:sz w:val="24"/>
              </w:rPr>
            </w:pPr>
            <w:r>
              <w:rPr>
                <w:rFonts w:hint="eastAsia" w:ascii="宋体" w:hAnsi="宋体" w:cs="宋体"/>
                <w:bCs/>
                <w:sz w:val="24"/>
              </w:rPr>
              <w:t xml:space="preserve">紧急情况措施</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jc w:val="center"/>
              <w:spacing w:line="360" w:lineRule="atLeast"/>
              <w:rPr>
                <w:rFonts w:ascii="宋体" w:hAnsi="宋体" w:cs="宋体"/>
                <w:sz w:val="24"/>
              </w:rPr>
            </w:pPr>
            <w:r>
              <w:rPr>
                <w:rFonts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770" w:type="pct"/>
            <w:vAlign w:val="center"/>
            <w:textDirection w:val="lrTb"/>
            <w:noWrap w:val="false"/>
          </w:tcPr>
          <w:p>
            <w:pPr>
              <w:pStyle w:val="1070"/>
              <w:spacing w:line="360" w:lineRule="atLeast"/>
              <w:rPr>
                <w:rFonts w:ascii="宋体" w:hAnsi="宋体" w:cs="宋体"/>
                <w:bCs/>
                <w:sz w:val="24"/>
              </w:rPr>
            </w:pPr>
            <w:r>
              <w:rPr>
                <w:rFonts w:hint="eastAsia" w:ascii="宋体" w:hAnsi="宋体" w:cs="宋体"/>
                <w:bCs/>
                <w:sz w:val="24"/>
              </w:rPr>
              <w:t xml:space="preserve">紧急情况措施，包括应急处理流程、责任划分、资源调配及后续处理措施等。</w:t>
            </w:r>
            <w:r>
              <w:rPr>
                <w:rFonts w:ascii="宋体" w:hAnsi="宋体" w:cs="宋体"/>
                <w:bCs/>
                <w:sz w:val="24"/>
              </w:rPr>
            </w:r>
            <w:r/>
          </w:p>
          <w:p>
            <w:pPr>
              <w:pStyle w:val="1070"/>
              <w:spacing w:line="360" w:lineRule="atLeast"/>
              <w:rPr>
                <w:rFonts w:ascii="宋体" w:hAnsi="宋体" w:cs="宋体"/>
                <w:bCs/>
                <w:sz w:val="24"/>
              </w:rPr>
            </w:pPr>
            <w:r>
              <w:rPr>
                <w:rFonts w:hint="eastAsia" w:ascii="宋体" w:hAnsi="宋体" w:cs="宋体"/>
                <w:bCs/>
                <w:sz w:val="24"/>
              </w:rPr>
              <w:t xml:space="preserve">制定了详细的应急处理流程、责任划分、资源调配及后续处理措施等得4分；基本描述了紧急情况的主要应对措施和流程，但在某些细节或资源调配上有所欠缺得3分；仅简单提及了紧急情况的基本应对措施，缺乏具体内容和细节得</w:t>
            </w:r>
            <w:r>
              <w:rPr>
                <w:rFonts w:ascii="宋体" w:hAnsi="宋体" w:cs="宋体"/>
                <w:bCs/>
                <w:sz w:val="24"/>
              </w:rPr>
              <w:t xml:space="preserve">2</w:t>
            </w:r>
            <w:r>
              <w:rPr>
                <w:rFonts w:hint="eastAsia" w:ascii="宋体" w:hAnsi="宋体" w:cs="宋体"/>
                <w:bCs/>
                <w:sz w:val="24"/>
              </w:rPr>
              <w:t xml:space="preserve">分；未提供或提供的方案与本项目合同履行无关不得分。</w:t>
            </w:r>
            <w:r>
              <w:rPr>
                <w:rFonts w:ascii="宋体" w:hAnsi="宋体" w:cs="宋体"/>
                <w:bCs/>
                <w:sz w:val="24"/>
              </w:rPr>
            </w:r>
            <w:r/>
          </w:p>
        </w:tc>
        <w:tc>
          <w:tcPr>
            <w:tcBorders>
              <w:top w:val="single" w:color="000000" w:sz="4" w:space="0"/>
              <w:left w:val="single" w:color="000000" w:sz="4" w:space="0"/>
              <w:bottom w:val="single" w:color="000000" w:sz="4" w:space="0"/>
              <w:right w:val="single" w:color="000000" w:sz="4" w:space="0"/>
            </w:tcBorders>
            <w:tcW w:w="1562" w:type="pct"/>
            <w:vAlign w:val="center"/>
            <w:textDirection w:val="lrTb"/>
            <w:noWrap w:val="false"/>
          </w:tcPr>
          <w:p>
            <w:pPr>
              <w:pStyle w:val="1070"/>
              <w:ind w:left="-38"/>
              <w:spacing w:line="360" w:lineRule="auto"/>
              <w:rPr>
                <w:rFonts w:hint="eastAsia" w:ascii="宋体" w:hAnsi="宋体" w:cs="宋体"/>
                <w:sz w:val="24"/>
              </w:rPr>
            </w:pPr>
            <w:r>
              <w:rPr>
                <w:rFonts w:hint="eastAsia" w:ascii="宋体" w:hAnsi="宋体" w:cs="宋体"/>
                <w:sz w:val="24"/>
              </w:rPr>
            </w:r>
            <w:r/>
          </w:p>
        </w:tc>
      </w:tr>
      <w:tr>
        <w:trPr>
          <w:trHeight w:val="170"/>
        </w:trPr>
        <w:tc>
          <w:tcPr>
            <w:gridSpan w:val="2"/>
            <w:tcBorders>
              <w:top w:val="single" w:color="000000" w:sz="4" w:space="0"/>
              <w:left w:val="single" w:color="000000" w:sz="4" w:space="0"/>
              <w:bottom w:val="single" w:color="000000" w:sz="4" w:space="0"/>
              <w:right w:val="single" w:color="000000" w:sz="4" w:space="0"/>
            </w:tcBorders>
            <w:tcW w:w="1193"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合计</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475" w:type="pct"/>
            <w:vAlign w:val="center"/>
            <w:textDirection w:val="lrTb"/>
            <w:noWrap w:val="false"/>
          </w:tcPr>
          <w:p>
            <w:pPr>
              <w:pStyle w:val="1070"/>
              <w:ind w:firstLine="28"/>
              <w:jc w:val="center"/>
              <w:rPr>
                <w:rFonts w:hint="eastAsia" w:ascii="宋体" w:hAnsi="宋体" w:cs="宋体"/>
                <w:sz w:val="24"/>
              </w:rPr>
            </w:pPr>
            <w:r>
              <w:rPr>
                <w:rFonts w:hint="eastAsia" w:ascii="宋体" w:hAnsi="宋体" w:cs="宋体"/>
                <w:sz w:val="24"/>
                <w:lang w:bidi="ar"/>
              </w:rPr>
              <w:t xml:space="preserve">100</w:t>
            </w:r>
            <w:r>
              <w:rPr>
                <w:rFonts w:hint="eastAsia"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3332" w:type="pct"/>
            <w:vAlign w:val="center"/>
            <w:textDirection w:val="lrTb"/>
            <w:noWrap w:val="false"/>
          </w:tcPr>
          <w:p>
            <w:pPr>
              <w:pStyle w:val="1070"/>
              <w:rPr>
                <w:rFonts w:hint="eastAsia" w:ascii="宋体" w:hAnsi="宋体" w:cs="宋体"/>
                <w:sz w:val="24"/>
              </w:rPr>
            </w:pPr>
            <w:r>
              <w:rPr>
                <w:rFonts w:hint="eastAsia" w:ascii="宋体" w:hAnsi="宋体" w:cs="宋体"/>
                <w:sz w:val="24"/>
              </w:rPr>
            </w:r>
            <w:r/>
          </w:p>
        </w:tc>
      </w:tr>
    </w:tbl>
    <w:p>
      <w:pPr>
        <w:pStyle w:val="1070"/>
        <w:ind w:left="1080"/>
        <w:spacing w:line="360" w:lineRule="auto"/>
        <w:tabs>
          <w:tab w:val="left" w:pos="360" w:leader="none"/>
          <w:tab w:val="left" w:pos="1080" w:leader="none"/>
        </w:tabs>
        <w:rPr>
          <w:rFonts w:ascii="宋体" w:hAnsi="宋体"/>
          <w:sz w:val="24"/>
        </w:rPr>
      </w:pPr>
      <w:r>
        <w:rPr>
          <w:rFonts w:ascii="宋体" w:hAnsi="宋体"/>
          <w:sz w:val="24"/>
        </w:rPr>
      </w:r>
      <w:r/>
    </w:p>
    <w:p>
      <w:pPr>
        <w:pStyle w:val="1070"/>
        <w:jc w:val="left"/>
        <w:widowControl/>
        <w:rPr>
          <w:rFonts w:ascii="宋体" w:hAnsi="宋体"/>
          <w:b/>
          <w:sz w:val="36"/>
          <w:szCs w:val="36"/>
        </w:rPr>
      </w:pPr>
      <w:r>
        <w:rPr>
          <w:rFonts w:ascii="宋体" w:hAnsi="宋体"/>
          <w:b/>
          <w:sz w:val="36"/>
          <w:szCs w:val="36"/>
        </w:rPr>
      </w:r>
      <w:r/>
    </w:p>
    <w:p>
      <w:pPr>
        <w:pStyle w:val="1070"/>
        <w:jc w:val="center"/>
        <w:spacing w:line="360" w:lineRule="auto"/>
        <w:rPr>
          <w:rFonts w:ascii="宋体" w:hAnsi="宋体"/>
          <w:b/>
          <w:sz w:val="36"/>
          <w:szCs w:val="36"/>
        </w:rPr>
        <w:outlineLvl w:val="0"/>
      </w:pPr>
      <w:r>
        <w:rPr>
          <w:rFonts w:ascii="宋体" w:hAnsi="宋体"/>
          <w:b/>
          <w:sz w:val="36"/>
          <w:szCs w:val="36"/>
        </w:rPr>
        <w:br w:type="page" w:clear="all"/>
      </w:r>
      <w:bookmarkStart w:id="818" w:name="_Toc99301424"/>
      <w:r>
        <w:rPr>
          <w:rFonts w:ascii="宋体" w:hAnsi="宋体"/>
          <w:b/>
          <w:sz w:val="36"/>
          <w:szCs w:val="36"/>
        </w:rPr>
        <w:t xml:space="preserve">第五章   采购需求</w:t>
      </w:r>
      <w:bookmarkEnd w:id="818"/>
      <w:r>
        <w:rPr>
          <w:rFonts w:ascii="宋体" w:hAnsi="宋体"/>
          <w:b/>
          <w:sz w:val="36"/>
          <w:szCs w:val="36"/>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一、项目概况</w:t>
      </w:r>
      <w:r>
        <w:rPr>
          <w:rFonts w:hint="eastAsia" w:ascii="宋体" w:hAnsi="宋体" w:cs="宋体"/>
          <w:b/>
          <w:sz w:val="24"/>
        </w:rPr>
      </w:r>
      <w:r/>
    </w:p>
    <w:p>
      <w:pPr>
        <w:pStyle w:val="1070"/>
        <w:ind w:firstLine="480"/>
        <w:jc w:val="left"/>
        <w:spacing w:line="360" w:lineRule="auto"/>
        <w:rPr>
          <w:rFonts w:hint="eastAsia" w:ascii="宋体" w:hAnsi="宋体" w:cs="宋体"/>
          <w:sz w:val="24"/>
        </w:rPr>
      </w:pPr>
      <w:r>
        <w:rPr>
          <w:rFonts w:hint="eastAsia" w:ascii="宋体" w:hAnsi="宋体" w:cs="宋体"/>
          <w:sz w:val="24"/>
          <w:lang w:bidi="ar"/>
        </w:rPr>
        <w:t xml:space="preserve">本项目为常州市中医医院特殊医学用途蛋白质组件配方食品（肽类）采购项目，适用10岁以上特定疾病或医学状况下需要补充蛋白质的人群。</w:t>
      </w:r>
      <w:r>
        <w:rPr>
          <w:rFonts w:hint="eastAsia" w:ascii="宋体" w:hAnsi="宋体" w:cs="宋体"/>
          <w:sz w:val="24"/>
        </w:rPr>
      </w:r>
      <w:r/>
    </w:p>
    <w:p>
      <w:pPr>
        <w:pStyle w:val="1070"/>
        <w:ind w:firstLine="482"/>
        <w:jc w:val="left"/>
        <w:spacing w:line="360" w:lineRule="auto"/>
        <w:rPr>
          <w:rFonts w:hint="eastAsia" w:ascii="宋体" w:hAnsi="宋体" w:cs="宋体"/>
          <w:b/>
          <w:sz w:val="24"/>
        </w:rPr>
      </w:pPr>
      <w:r>
        <w:rPr>
          <w:rFonts w:hint="eastAsia" w:ascii="宋体" w:hAnsi="宋体" w:cs="宋体"/>
          <w:b/>
          <w:sz w:val="24"/>
          <w:lang w:bidi="ar"/>
        </w:rPr>
        <w:t xml:space="preserve">二、商务要求</w:t>
      </w:r>
      <w:r>
        <w:rPr>
          <w:rFonts w:hint="eastAsia" w:ascii="宋体" w:hAnsi="宋体" w:cs="宋体"/>
          <w:b/>
          <w:sz w:val="24"/>
        </w:rPr>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1.配送要求</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1.1 采购人根据实际需求情况不定期通知投标人，接到采购人通知后 72小时内按采购人要求的数量送货到采购人指定地点；紧急情况在采购人发出缺货通知后，24 小时内提供所需的货物。在出现突发公共卫生事件或其他紧急情况时，投标人应积极配合医院完成紧急配送服务。 </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1.2 每次根据采购人的电话或其它方式通知订购品种、数量后，按时运送食品到指定地点，中标人随货提供注明货物名称、单位、数量、售价及总金额的商品送货清单，作为采购人入库验收凭证。 </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1.3 要求提供能量和营养素成分说明表。</w:t>
      </w:r>
      <w:r/>
    </w:p>
    <w:p>
      <w:pPr>
        <w:pStyle w:val="1070"/>
        <w:ind w:firstLine="480"/>
        <w:jc w:val="left"/>
        <w:spacing w:line="360" w:lineRule="auto"/>
        <w:rPr>
          <w:rFonts w:ascii="宋体" w:hAnsi="宋体" w:cs="宋体"/>
          <w:sz w:val="24"/>
          <w:lang w:bidi="ar"/>
        </w:rPr>
      </w:pPr>
      <w:r>
        <w:rPr>
          <w:rFonts w:hint="eastAsia" w:ascii="宋体" w:hAnsi="宋体" w:cs="宋体"/>
          <w:sz w:val="24"/>
          <w:lang w:bidi="ar"/>
        </w:rPr>
        <w:t xml:space="preserve">1.4 交货地点：常州市中医医院。</w:t>
      </w:r>
      <w:r>
        <w:rPr>
          <w:rFonts w:ascii="宋体" w:hAnsi="宋体" w:cs="宋体"/>
          <w:sz w:val="24"/>
          <w:lang w:bidi="ar"/>
        </w:rPr>
      </w:r>
      <w:r/>
    </w:p>
    <w:p>
      <w:pPr>
        <w:pStyle w:val="1070"/>
        <w:ind w:firstLine="480"/>
        <w:jc w:val="left"/>
        <w:spacing w:line="360" w:lineRule="auto"/>
        <w:rPr>
          <w:rFonts w:ascii="宋体" w:hAnsi="宋体" w:cs="宋体"/>
          <w:sz w:val="24"/>
          <w:lang w:bidi="ar"/>
        </w:rPr>
      </w:pPr>
      <w:r>
        <w:rPr>
          <w:rFonts w:hint="eastAsia" w:ascii="宋体" w:hAnsi="宋体" w:cs="宋体"/>
          <w:sz w:val="24"/>
          <w:lang w:bidi="ar"/>
        </w:rPr>
        <w:t xml:space="preserve">1</w:t>
      </w:r>
      <w:r>
        <w:rPr>
          <w:rFonts w:ascii="宋体" w:hAnsi="宋体" w:cs="宋体"/>
          <w:sz w:val="24"/>
          <w:lang w:bidi="ar"/>
        </w:rPr>
        <w:t xml:space="preserve">.5</w:t>
      </w:r>
      <w:r>
        <w:rPr>
          <w:rFonts w:hint="eastAsia" w:ascii="宋体" w:hAnsi="宋体" w:cs="宋体"/>
          <w:sz w:val="24"/>
          <w:lang w:bidi="ar"/>
        </w:rPr>
        <w:t xml:space="preserve">销售方式：线上（含互联网医院）、线下。</w:t>
      </w:r>
      <w:r>
        <w:rPr>
          <w:rFonts w:ascii="宋体" w:hAnsi="宋体" w:cs="宋体"/>
          <w:sz w:val="24"/>
          <w:lang w:bidi="ar"/>
        </w:rPr>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2.付款条件（进度和方式）</w:t>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按季度结算，结算价=每季度实际供货数量×中标单价。 </w:t>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投标人应向采购人提供正规发票，采购人确认无误后支付上季度的应结货款。</w:t>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3.包装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3.1 投标人提供的全部特医食品应按国家标准保护措施进行包装，以防止食品在转运中损坏或变质，确保食品安全无损运抵指定地点。</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3.2 每一个包装箱内应附一份详细装箱单和质量检验报告书或合格证书，如非整件则须附有加盖投标人公章的质量检验报告书或合格证书。</w:t>
      </w:r>
      <w:r/>
    </w:p>
    <w:p>
      <w:pPr>
        <w:pStyle w:val="1070"/>
        <w:ind w:firstLine="482"/>
        <w:jc w:val="left"/>
        <w:spacing w:line="360" w:lineRule="auto"/>
        <w:rPr>
          <w:rFonts w:hint="eastAsia" w:ascii="宋体" w:hAnsi="宋体" w:cs="宋体"/>
          <w:b/>
          <w:sz w:val="24"/>
          <w:lang w:bidi="ar"/>
        </w:rPr>
      </w:pPr>
      <w:r>
        <w:rPr>
          <w:rFonts w:hint="eastAsia" w:ascii="宋体" w:hAnsi="宋体" w:cs="宋体"/>
          <w:b/>
          <w:sz w:val="24"/>
          <w:lang w:bidi="ar"/>
        </w:rPr>
        <w:t xml:space="preserve">4.售后服务</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4.1 投标人须按采购人采购特医食品订单供应特医食品,采购人在接收特医食品时，应对特医食品进行验货确认，对不符合合同要求的，采购人有权拒绝接收。投标人应及时更换被拒绝的特医食品，不得影响采购人的临床使用。</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4.2 如果采购人确认需要进行特医食品质量检验，应及时以书面形式把质量检验的具体要求通知投标人。投标人收到要求特医食品质量检验书面通知时，应当同意进行特医食品质量检验。检验在投标人交货的最终目的地进行。</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4.3 投标人应保证采购人在使用特医食品时免受第三方提出的有关专利权、商标权或保护期等方面的权利的要求。如果采购人或第三方对特医食品质量存在争议时，应即时封存该特医食品并由采购人或第三方在封条上当场签字确认后，由投标人送采购人所在地相关质检部门检验。如送检特医食品存在质量问题，由投标人承担该产品导致的所有责任和检验费用，采购人有权据此单方终止合同；如送检特医食品无质量问题，合同继续履行，检验费用由投标人承担。</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4.4 为保证特医食品质量，避免造成特医食品的浪费，采购人对已购进的特医食品应妥善储存和管理。如因投标人特医食品质量造成的一切损失由投标人承担全部责任。</w:t>
      </w:r>
      <w:r/>
    </w:p>
    <w:p>
      <w:pPr>
        <w:pStyle w:val="1070"/>
        <w:ind w:firstLine="480"/>
        <w:jc w:val="left"/>
        <w:spacing w:line="360" w:lineRule="auto"/>
        <w:rPr>
          <w:rFonts w:hint="eastAsia" w:ascii="宋体" w:hAnsi="宋体" w:cs="宋体"/>
          <w:sz w:val="24"/>
          <w:lang w:bidi="ar"/>
        </w:rPr>
      </w:pPr>
      <w:r>
        <w:rPr>
          <w:rFonts w:hint="eastAsia" w:ascii="宋体" w:hAnsi="宋体" w:cs="宋体"/>
          <w:sz w:val="24"/>
          <w:lang w:bidi="ar"/>
        </w:rPr>
        <w:t xml:space="preserve">4.5 加强对特医食品有效期的管理。采购人应定期清查特医食品库房及各个仓库特医食品的有效期，掌握特医食品使用情况，及时对医院特医食品进行退、换货。采购人应合理采购，合理使用特医食品。</w:t>
      </w:r>
      <w:r/>
    </w:p>
    <w:p>
      <w:pPr>
        <w:pStyle w:val="1070"/>
        <w:ind w:firstLine="482"/>
        <w:jc w:val="left"/>
        <w:spacing w:line="360" w:lineRule="auto"/>
        <w:rPr>
          <w:rFonts w:ascii="宋体" w:hAnsi="宋体" w:cs="宋体"/>
          <w:b/>
          <w:sz w:val="24"/>
          <w:lang w:val="zh-CN" w:bidi="ar"/>
        </w:rPr>
      </w:pPr>
      <w:r>
        <w:rPr>
          <w:rFonts w:hint="eastAsia" w:ascii="宋体" w:hAnsi="宋体" w:cs="宋体"/>
          <w:b/>
          <w:sz w:val="24"/>
          <w:lang w:bidi="ar"/>
        </w:rPr>
        <w:t xml:space="preserve">5.供货期限：2年。</w:t>
      </w:r>
      <w:r>
        <w:rPr>
          <w:rFonts w:ascii="宋体" w:hAnsi="宋体" w:cs="宋体"/>
          <w:b/>
          <w:sz w:val="24"/>
          <w:lang w:val="zh-CN" w:bidi="ar"/>
        </w:rPr>
      </w:r>
      <w:r/>
    </w:p>
    <w:p>
      <w:pPr>
        <w:pStyle w:val="1070"/>
        <w:ind w:firstLine="482"/>
        <w:jc w:val="left"/>
        <w:spacing w:line="360" w:lineRule="auto"/>
        <w:rPr>
          <w:rFonts w:ascii="宋体" w:hAnsi="宋体" w:cs="宋体"/>
          <w:b/>
          <w:sz w:val="24"/>
          <w:lang w:bidi="ar"/>
        </w:rPr>
      </w:pPr>
      <w:r>
        <w:rPr>
          <w:rFonts w:hint="eastAsia" w:ascii="宋体" w:hAnsi="宋体" w:cs="宋体"/>
          <w:b/>
          <w:sz w:val="24"/>
          <w:lang w:bidi="ar"/>
        </w:rPr>
        <w:t xml:space="preserve">三、技术要求（标注“★”为实质性要求，必须满足，如有任意一项不满足，作无效投标文件处理）</w:t>
      </w:r>
      <w:r>
        <w:rPr>
          <w:rFonts w:ascii="宋体" w:hAnsi="宋体" w:cs="宋体"/>
          <w:b/>
          <w:sz w:val="24"/>
          <w:lang w:bidi="ar"/>
        </w:rPr>
      </w:r>
      <w:r/>
    </w:p>
    <w:p>
      <w:pPr>
        <w:pStyle w:val="1165"/>
        <w:contextualSpacing/>
        <w:ind w:left="-2" w:firstLine="482"/>
        <w:jc w:val="left"/>
        <w:spacing w:line="360" w:lineRule="auto"/>
        <w:tabs>
          <w:tab w:val="left" w:pos="567" w:leader="none"/>
        </w:tabs>
        <w:rPr>
          <w:rFonts w:hint="eastAsia" w:ascii="宋体" w:hAnsi="宋体" w:cs="宋体"/>
          <w:b/>
          <w:sz w:val="24"/>
          <w:szCs w:val="24"/>
          <w:lang w:bidi="ar"/>
        </w:rPr>
      </w:pPr>
      <w:r>
        <w:rPr>
          <w:rFonts w:hint="eastAsia" w:ascii="宋体" w:hAnsi="宋体" w:cs="宋体"/>
          <w:b/>
          <w:sz w:val="24"/>
          <w:szCs w:val="24"/>
          <w:lang w:bidi="ar"/>
        </w:rPr>
        <w:t xml:space="preserve">1. 基本要求</w:t>
      </w:r>
      <w:r/>
    </w:p>
    <w:p>
      <w:pPr>
        <w:pStyle w:val="1165"/>
        <w:contextualSpacing/>
        <w:ind w:left="-2" w:firstLine="480"/>
        <w:jc w:val="left"/>
        <w:spacing w:line="360" w:lineRule="auto"/>
        <w:tabs>
          <w:tab w:val="left" w:pos="567" w:leader="none"/>
        </w:tabs>
        <w:rPr>
          <w:rFonts w:hint="eastAsia" w:ascii="宋体" w:hAnsi="宋体" w:cs="宋体"/>
          <w:sz w:val="24"/>
          <w:szCs w:val="24"/>
          <w:lang w:bidi="ar"/>
        </w:rPr>
      </w:pPr>
      <w:r>
        <w:rPr>
          <w:rFonts w:hint="eastAsia" w:ascii="宋体" w:hAnsi="宋体" w:cs="宋体"/>
          <w:sz w:val="24"/>
          <w:szCs w:val="24"/>
          <w:lang w:bidi="ar"/>
        </w:rPr>
        <w:t xml:space="preserve">1.1 采购标的需实现的功能或者目标；</w:t>
      </w:r>
      <w:r/>
    </w:p>
    <w:p>
      <w:pPr>
        <w:pStyle w:val="1165"/>
        <w:contextualSpacing/>
        <w:ind w:left="-2" w:firstLine="480"/>
        <w:jc w:val="left"/>
        <w:spacing w:line="360" w:lineRule="auto"/>
        <w:tabs>
          <w:tab w:val="left" w:pos="567" w:leader="none"/>
        </w:tabs>
        <w:rPr>
          <w:rFonts w:hint="eastAsia" w:ascii="宋体" w:hAnsi="宋体" w:cs="宋体"/>
          <w:b/>
          <w:sz w:val="24"/>
          <w:szCs w:val="24"/>
          <w:lang w:bidi="ar"/>
        </w:rPr>
      </w:pPr>
      <w:r>
        <w:rPr>
          <w:rFonts w:hint="eastAsia" w:ascii="宋体" w:hAnsi="宋体" w:cs="宋体"/>
          <w:sz w:val="24"/>
          <w:szCs w:val="24"/>
          <w:lang w:bidi="ar"/>
        </w:rPr>
        <w:t xml:space="preserve">1.2 需执行的国家相关标准、行业标准、地方标准或者其他标准、规范。</w:t>
      </w:r>
      <w:r>
        <w:rPr>
          <w:rFonts w:hint="eastAsia" w:ascii="宋体" w:hAnsi="宋体" w:cs="宋体"/>
          <w:b/>
          <w:sz w:val="24"/>
          <w:szCs w:val="24"/>
          <w:lang w:bidi="ar"/>
        </w:rPr>
      </w:r>
      <w:r/>
    </w:p>
    <w:p>
      <w:pPr>
        <w:pStyle w:val="1165"/>
        <w:contextualSpacing/>
        <w:ind w:left="-2" w:firstLine="482"/>
        <w:jc w:val="left"/>
        <w:spacing w:line="360" w:lineRule="auto"/>
        <w:tabs>
          <w:tab w:val="left" w:pos="567" w:leader="none"/>
        </w:tabs>
        <w:rPr>
          <w:rFonts w:ascii="宋体" w:hAnsi="宋体"/>
          <w:b/>
          <w:sz w:val="24"/>
          <w:szCs w:val="24"/>
        </w:rPr>
      </w:pPr>
      <w:r>
        <w:rPr>
          <w:rFonts w:hint="eastAsia" w:ascii="宋体" w:hAnsi="宋体" w:cs="宋体"/>
          <w:b/>
          <w:sz w:val="24"/>
          <w:szCs w:val="24"/>
          <w:lang w:bidi="ar"/>
        </w:rPr>
        <w:t xml:space="preserve">2.技术参数</w:t>
      </w:r>
      <w:r>
        <w:rPr>
          <w:rFonts w:ascii="宋体" w:hAnsi="宋体"/>
          <w:b/>
          <w:sz w:val="24"/>
          <w:szCs w:val="24"/>
        </w:rPr>
      </w:r>
      <w:r/>
    </w:p>
    <w:tbl>
      <w:tblPr>
        <w:tblW w:w="93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0"/>
        <w:gridCol w:w="1248"/>
        <w:gridCol w:w="1248"/>
        <w:gridCol w:w="1188"/>
        <w:gridCol w:w="4777"/>
      </w:tblGrid>
      <w:tr>
        <w:trPr>
          <w:trHeight w:val="90"/>
        </w:trPr>
        <w:tc>
          <w:tcPr>
            <w:tcW w:w="890" w:type="dxa"/>
            <w:vAlign w:val="center"/>
            <w:textDirection w:val="lrTb"/>
            <w:noWrap w:val="false"/>
          </w:tcPr>
          <w:p>
            <w:pPr>
              <w:pStyle w:val="1070"/>
              <w:jc w:val="center"/>
              <w:spacing w:line="360" w:lineRule="auto"/>
              <w:rPr>
                <w:rFonts w:ascii="宋体" w:hAnsi="宋体" w:cs="宋体"/>
                <w:b/>
                <w:bCs/>
                <w:sz w:val="24"/>
              </w:rPr>
            </w:pPr>
            <w:r>
              <w:rPr>
                <w:rFonts w:hint="eastAsia" w:ascii="宋体" w:hAnsi="宋体" w:cs="宋体"/>
                <w:b/>
                <w:bCs/>
                <w:sz w:val="24"/>
              </w:rPr>
              <w:t xml:space="preserve">序号</w:t>
            </w:r>
            <w:r>
              <w:rPr>
                <w:rFonts w:ascii="宋体" w:hAnsi="宋体" w:cs="宋体"/>
                <w:b/>
                <w:bCs/>
                <w:sz w:val="24"/>
              </w:rPr>
            </w:r>
            <w:r/>
          </w:p>
        </w:tc>
        <w:tc>
          <w:tcPr>
            <w:tcW w:w="1248" w:type="dxa"/>
            <w:vAlign w:val="center"/>
            <w:textDirection w:val="lrTb"/>
            <w:noWrap w:val="false"/>
          </w:tcPr>
          <w:p>
            <w:pPr>
              <w:pStyle w:val="1070"/>
              <w:jc w:val="center"/>
              <w:spacing w:line="360" w:lineRule="auto"/>
              <w:rPr>
                <w:rFonts w:ascii="宋体" w:hAnsi="宋体" w:cs="宋体"/>
                <w:b/>
                <w:bCs/>
                <w:sz w:val="24"/>
              </w:rPr>
            </w:pPr>
            <w:r>
              <w:rPr>
                <w:rFonts w:hint="eastAsia" w:ascii="宋体" w:hAnsi="宋体" w:cs="宋体"/>
                <w:b/>
                <w:bCs/>
                <w:sz w:val="24"/>
                <w:lang w:bidi="ar"/>
              </w:rPr>
              <w:t xml:space="preserve">产品类型</w:t>
            </w:r>
            <w:r>
              <w:rPr>
                <w:rFonts w:ascii="宋体" w:hAnsi="宋体" w:cs="宋体"/>
                <w:b/>
                <w:bCs/>
                <w:sz w:val="24"/>
              </w:rPr>
            </w:r>
            <w:r/>
          </w:p>
        </w:tc>
        <w:tc>
          <w:tcPr>
            <w:tcW w:w="1248" w:type="dxa"/>
            <w:vAlign w:val="center"/>
            <w:textDirection w:val="lrTb"/>
            <w:noWrap w:val="false"/>
          </w:tcPr>
          <w:p>
            <w:pPr>
              <w:pStyle w:val="1070"/>
              <w:jc w:val="center"/>
              <w:spacing w:line="360" w:lineRule="auto"/>
              <w:rPr>
                <w:rFonts w:ascii="宋体" w:hAnsi="宋体" w:cs="宋体"/>
                <w:b/>
                <w:bCs/>
                <w:sz w:val="24"/>
              </w:rPr>
            </w:pPr>
            <w:r>
              <w:rPr>
                <w:rFonts w:hint="eastAsia" w:ascii="宋体" w:hAnsi="宋体" w:cs="宋体"/>
                <w:b/>
                <w:bCs/>
                <w:sz w:val="24"/>
                <w:lang w:bidi="ar"/>
              </w:rPr>
              <w:t xml:space="preserve">规定型号</w:t>
            </w:r>
            <w:r>
              <w:rPr>
                <w:rFonts w:ascii="宋体" w:hAnsi="宋体" w:cs="宋体"/>
                <w:b/>
                <w:bCs/>
                <w:sz w:val="24"/>
              </w:rPr>
            </w:r>
            <w:r/>
          </w:p>
        </w:tc>
        <w:tc>
          <w:tcPr>
            <w:tcW w:w="1188" w:type="dxa"/>
            <w:vAlign w:val="center"/>
            <w:textDirection w:val="lrTb"/>
            <w:noWrap/>
          </w:tcPr>
          <w:p>
            <w:pPr>
              <w:pStyle w:val="1070"/>
              <w:jc w:val="center"/>
              <w:spacing w:line="360" w:lineRule="auto"/>
              <w:rPr>
                <w:rFonts w:ascii="宋体" w:hAnsi="宋体" w:cs="宋体"/>
                <w:b/>
                <w:bCs/>
                <w:sz w:val="24"/>
              </w:rPr>
            </w:pPr>
            <w:r>
              <w:rPr>
                <w:rFonts w:hint="eastAsia" w:ascii="宋体" w:hAnsi="宋体" w:cs="宋体"/>
                <w:b/>
                <w:bCs/>
                <w:sz w:val="24"/>
                <w:lang w:bidi="ar"/>
              </w:rPr>
              <w:t xml:space="preserve">适用人群</w:t>
            </w:r>
            <w:r>
              <w:rPr>
                <w:rFonts w:ascii="宋体" w:hAnsi="宋体" w:cs="宋体"/>
                <w:b/>
                <w:bCs/>
                <w:sz w:val="24"/>
              </w:rPr>
            </w:r>
            <w:r/>
          </w:p>
        </w:tc>
        <w:tc>
          <w:tcPr>
            <w:tcW w:w="4777" w:type="dxa"/>
            <w:vAlign w:val="center"/>
            <w:textDirection w:val="lrTb"/>
            <w:noWrap/>
          </w:tcPr>
          <w:p>
            <w:pPr>
              <w:pStyle w:val="1070"/>
              <w:jc w:val="center"/>
              <w:spacing w:line="360" w:lineRule="auto"/>
              <w:rPr>
                <w:rFonts w:ascii="宋体" w:hAnsi="宋体" w:cs="宋体"/>
                <w:b/>
                <w:bCs/>
                <w:sz w:val="24"/>
              </w:rPr>
            </w:pPr>
            <w:r>
              <w:rPr>
                <w:rFonts w:hint="eastAsia" w:ascii="宋体" w:hAnsi="宋体" w:cs="宋体"/>
                <w:b/>
                <w:bCs/>
                <w:sz w:val="24"/>
                <w:lang w:bidi="ar"/>
              </w:rPr>
              <w:t xml:space="preserve">技术参数</w:t>
            </w:r>
            <w:r>
              <w:rPr>
                <w:rFonts w:ascii="宋体" w:hAnsi="宋体" w:cs="宋体"/>
                <w:b/>
                <w:bCs/>
                <w:sz w:val="24"/>
              </w:rPr>
            </w:r>
            <w:r/>
          </w:p>
        </w:tc>
      </w:tr>
      <w:tr>
        <w:trPr>
          <w:trHeight w:val="90"/>
        </w:trPr>
        <w:tc>
          <w:tcPr>
            <w:tcW w:w="890" w:type="dxa"/>
            <w:vAlign w:val="center"/>
            <w:textDirection w:val="lrTb"/>
            <w:noWrap w:val="false"/>
          </w:tcPr>
          <w:p>
            <w:pPr>
              <w:pStyle w:val="1070"/>
              <w:jc w:val="center"/>
              <w:spacing w:line="360" w:lineRule="auto"/>
              <w:rPr>
                <w:rFonts w:ascii="宋体" w:hAnsi="宋体" w:cs="宋体"/>
                <w:b/>
                <w:bCs/>
                <w:sz w:val="24"/>
              </w:rPr>
            </w:pPr>
            <w:r>
              <w:rPr>
                <w:rFonts w:hint="eastAsia" w:ascii="宋体" w:hAnsi="宋体" w:cs="宋体"/>
                <w:sz w:val="24"/>
                <w:lang w:bidi="ar"/>
              </w:rPr>
              <w:t xml:space="preserve">01</w:t>
            </w:r>
            <w:r>
              <w:rPr>
                <w:rFonts w:ascii="宋体" w:hAnsi="宋体" w:cs="宋体"/>
                <w:b/>
                <w:bCs/>
                <w:sz w:val="24"/>
              </w:rPr>
            </w:r>
            <w:r/>
          </w:p>
        </w:tc>
        <w:tc>
          <w:tcPr>
            <w:tcW w:w="1248" w:type="dxa"/>
            <w:vAlign w:val="center"/>
            <w:textDirection w:val="lrTb"/>
            <w:noWrap w:val="false"/>
          </w:tcPr>
          <w:p>
            <w:pPr>
              <w:pStyle w:val="1070"/>
              <w:jc w:val="center"/>
              <w:rPr>
                <w:rFonts w:ascii="宋体" w:hAnsi="宋体"/>
                <w:sz w:val="24"/>
              </w:rPr>
            </w:pPr>
            <w:r>
              <w:rPr>
                <w:rFonts w:hint="eastAsia" w:ascii="宋体" w:hAnsi="宋体"/>
                <w:sz w:val="24"/>
              </w:rPr>
              <w:t xml:space="preserve">特殊医学用途蛋白质组件配方食品（肽类）</w:t>
            </w:r>
            <w:r>
              <w:rPr>
                <w:rFonts w:ascii="宋体" w:hAnsi="宋体"/>
                <w:sz w:val="24"/>
              </w:rPr>
            </w:r>
            <w:r/>
          </w:p>
        </w:tc>
        <w:tc>
          <w:tcPr>
            <w:tcW w:w="1248" w:type="dxa"/>
            <w:vAlign w:val="center"/>
            <w:textDirection w:val="lrTb"/>
            <w:noWrap w:val="false"/>
          </w:tcPr>
          <w:p>
            <w:pPr>
              <w:pStyle w:val="1070"/>
              <w:jc w:val="center"/>
              <w:rPr>
                <w:rFonts w:ascii="宋体" w:hAnsi="宋体"/>
                <w:sz w:val="24"/>
              </w:rPr>
            </w:pPr>
            <w:r>
              <w:rPr>
                <w:rFonts w:hint="eastAsia" w:ascii="宋体" w:hAnsi="宋体" w:cs="宋体"/>
                <w:sz w:val="24"/>
                <w:lang w:bidi="ar"/>
              </w:rPr>
              <w:t xml:space="preserve">★液体</w:t>
            </w:r>
            <w:r>
              <w:rPr>
                <w:rFonts w:ascii="宋体" w:hAnsi="宋体"/>
                <w:sz w:val="24"/>
              </w:rPr>
            </w:r>
            <w:r/>
          </w:p>
        </w:tc>
        <w:tc>
          <w:tcPr>
            <w:tcW w:w="1188" w:type="dxa"/>
            <w:vAlign w:val="center"/>
            <w:textDirection w:val="lrTb"/>
            <w:noWrap/>
          </w:tcPr>
          <w:p>
            <w:pPr>
              <w:pStyle w:val="1070"/>
              <w:jc w:val="center"/>
              <w:rPr>
                <w:rFonts w:ascii="宋体" w:hAnsi="宋体"/>
                <w:sz w:val="24"/>
              </w:rPr>
            </w:pPr>
            <w:r>
              <w:rPr>
                <w:rFonts w:hint="eastAsia" w:ascii="宋体" w:hAnsi="宋体" w:cs="宋体"/>
                <w:sz w:val="24"/>
                <w:lang w:bidi="ar"/>
              </w:rPr>
              <w:t xml:space="preserve">★</w:t>
            </w:r>
            <w:r>
              <w:rPr>
                <w:rFonts w:hint="eastAsia" w:ascii="宋体" w:hAnsi="宋体"/>
                <w:sz w:val="24"/>
              </w:rPr>
              <w:t xml:space="preserve">10岁以上特定疾病或医学状况下需要补充蛋白质的人群。</w:t>
            </w:r>
            <w:r>
              <w:rPr>
                <w:rFonts w:ascii="宋体" w:hAnsi="宋体"/>
                <w:sz w:val="24"/>
              </w:rPr>
            </w:r>
            <w:r/>
          </w:p>
        </w:tc>
        <w:tc>
          <w:tcPr>
            <w:tcW w:w="4777" w:type="dxa"/>
            <w:vAlign w:val="center"/>
            <w:textDirection w:val="lrTb"/>
            <w:noWrap/>
          </w:tcPr>
          <w:p>
            <w:pPr>
              <w:pStyle w:val="1165"/>
              <w:ind w:firstLine="0"/>
              <w:jc w:val="left"/>
              <w:tabs>
                <w:tab w:val="left" w:pos="312" w:leader="none"/>
              </w:tabs>
              <w:rPr>
                <w:rFonts w:hint="eastAsia" w:ascii="宋体" w:hAnsi="宋体" w:cs="宋体"/>
                <w:sz w:val="24"/>
                <w:szCs w:val="24"/>
                <w:lang w:bidi="ar"/>
              </w:rPr>
            </w:pPr>
            <w:r>
              <w:rPr>
                <w:rFonts w:ascii="宋体" w:hAnsi="宋体" w:cs="宋体"/>
                <w:sz w:val="24"/>
                <w:szCs w:val="24"/>
                <w:lang w:bidi="ar"/>
              </w:rPr>
              <w:t xml:space="preserve">1.</w:t>
            </w:r>
            <w:r>
              <w:rPr>
                <w:rFonts w:hint="eastAsia" w:ascii="宋体" w:hAnsi="宋体" w:cs="宋体"/>
                <w:sz w:val="24"/>
                <w:szCs w:val="24"/>
                <w:lang w:bidi="ar"/>
              </w:rPr>
              <w:t xml:space="preserve">蛋白来源为水解乳清蛋白、大豆肽等</w:t>
            </w:r>
            <w:r>
              <w:rPr>
                <w:rFonts w:hint="eastAsia" w:ascii="宋体" w:hAnsi="宋体" w:cs="宋体"/>
                <w:b/>
                <w:sz w:val="24"/>
                <w:szCs w:val="24"/>
                <w:lang w:bidi="ar"/>
              </w:rPr>
              <w:t xml:space="preserve">（提供特医产品标签说明书）</w:t>
            </w:r>
            <w:r>
              <w:rPr>
                <w:rFonts w:hint="eastAsia" w:ascii="宋体" w:hAnsi="宋体" w:cs="宋体"/>
                <w:sz w:val="24"/>
                <w:szCs w:val="24"/>
                <w:lang w:bidi="ar"/>
              </w:rPr>
              <w:t xml:space="preserve">；</w:t>
            </w:r>
            <w:r/>
          </w:p>
          <w:p>
            <w:pPr>
              <w:pStyle w:val="1070"/>
              <w:jc w:val="left"/>
              <w:tabs>
                <w:tab w:val="left" w:pos="312" w:leader="none"/>
              </w:tabs>
              <w:rPr>
                <w:rFonts w:hint="eastAsia" w:ascii="宋体" w:hAnsi="宋体" w:cs="宋体"/>
                <w:sz w:val="24"/>
                <w:lang w:bidi="ar"/>
              </w:rPr>
            </w:pPr>
            <w:r>
              <w:rPr>
                <w:rFonts w:ascii="宋体" w:hAnsi="宋体" w:cs="宋体"/>
                <w:sz w:val="24"/>
                <w:lang w:bidi="ar"/>
              </w:rPr>
              <w:t xml:space="preserve">2.</w:t>
            </w:r>
            <w:r>
              <w:rPr>
                <w:rFonts w:hint="eastAsia" w:ascii="宋体" w:hAnsi="宋体" w:cs="宋体"/>
                <w:sz w:val="24"/>
                <w:lang w:bidi="ar"/>
              </w:rPr>
              <w:t xml:space="preserve">每1</w:t>
            </w:r>
            <w:r>
              <w:rPr>
                <w:rFonts w:ascii="宋体" w:hAnsi="宋体" w:cs="宋体"/>
                <w:sz w:val="24"/>
                <w:lang w:bidi="ar"/>
              </w:rPr>
              <w:t xml:space="preserve">00</w:t>
            </w:r>
            <w:r>
              <w:rPr>
                <w:rFonts w:hint="eastAsia" w:ascii="宋体" w:hAnsi="宋体" w:cs="宋体"/>
                <w:sz w:val="24"/>
                <w:lang w:bidi="ar"/>
              </w:rPr>
              <w:t xml:space="preserve">ml含蛋白质＞8g，碳水化合物＜3g，脂肪＜2g</w:t>
            </w:r>
            <w:r>
              <w:rPr>
                <w:rFonts w:hint="eastAsia" w:ascii="宋体" w:hAnsi="宋体" w:cs="宋体"/>
                <w:b/>
                <w:sz w:val="24"/>
                <w:lang w:bidi="ar"/>
              </w:rPr>
              <w:t xml:space="preserve">（提供特医产品标签说明书）</w:t>
            </w:r>
            <w:r>
              <w:rPr>
                <w:rFonts w:hint="eastAsia" w:ascii="宋体" w:hAnsi="宋体" w:cs="宋体"/>
                <w:sz w:val="24"/>
                <w:lang w:bidi="ar"/>
              </w:rPr>
              <w:t xml:space="preserve">；</w:t>
            </w:r>
            <w:r/>
          </w:p>
          <w:p>
            <w:pPr>
              <w:pStyle w:val="1070"/>
              <w:jc w:val="left"/>
              <w:tabs>
                <w:tab w:val="left" w:pos="312" w:leader="none"/>
              </w:tabs>
              <w:rPr>
                <w:rFonts w:hint="eastAsia" w:ascii="宋体" w:hAnsi="宋体" w:cs="宋体"/>
                <w:sz w:val="24"/>
                <w:lang w:bidi="ar"/>
              </w:rPr>
            </w:pPr>
            <w:r>
              <w:rPr>
                <w:rFonts w:ascii="宋体" w:hAnsi="宋体" w:cs="宋体"/>
                <w:sz w:val="24"/>
                <w:lang w:bidi="ar"/>
              </w:rPr>
              <w:t xml:space="preserve">3.</w:t>
            </w:r>
            <w:r>
              <w:rPr>
                <w:rFonts w:hint="eastAsia" w:ascii="宋体" w:hAnsi="宋体" w:cs="宋体"/>
                <w:bCs/>
                <w:sz w:val="24"/>
                <w:lang w:bidi="ar"/>
              </w:rPr>
              <w:t xml:space="preserve">其中水解乳清蛋白占总蛋白含量＞35%</w:t>
            </w:r>
            <w:r>
              <w:rPr>
                <w:rFonts w:hint="eastAsia" w:ascii="宋体" w:hAnsi="宋体" w:cs="宋体"/>
                <w:b/>
                <w:sz w:val="24"/>
                <w:lang w:bidi="ar"/>
              </w:rPr>
              <w:t xml:space="preserve">（提供特医产品标签说明书）</w:t>
            </w:r>
            <w:r>
              <w:rPr>
                <w:rFonts w:hint="eastAsia" w:ascii="宋体" w:hAnsi="宋体" w:cs="宋体"/>
                <w:sz w:val="24"/>
                <w:lang w:bidi="ar"/>
              </w:rPr>
              <w:t xml:space="preserve">；</w:t>
            </w:r>
            <w:r/>
          </w:p>
          <w:p>
            <w:pPr>
              <w:pStyle w:val="1070"/>
              <w:jc w:val="left"/>
              <w:tabs>
                <w:tab w:val="left" w:pos="312" w:leader="none"/>
              </w:tabs>
              <w:rPr>
                <w:rFonts w:hint="eastAsia" w:ascii="宋体" w:hAnsi="宋体" w:cs="宋体"/>
                <w:sz w:val="24"/>
              </w:rPr>
            </w:pPr>
            <w:r>
              <w:rPr>
                <w:rFonts w:ascii="宋体" w:hAnsi="宋体" w:cs="宋体"/>
                <w:sz w:val="24"/>
              </w:rPr>
              <w:t xml:space="preserve">4.</w:t>
            </w:r>
            <w:r>
              <w:rPr>
                <w:rFonts w:hint="eastAsia" w:ascii="宋体" w:hAnsi="宋体" w:cs="宋体"/>
                <w:sz w:val="24"/>
                <w:lang w:bidi="ar"/>
              </w:rPr>
              <w:t xml:space="preserve">渗透压＜500mOsmol/kg</w:t>
            </w:r>
            <w:r>
              <w:rPr>
                <w:rFonts w:hint="eastAsia" w:ascii="宋体" w:hAnsi="宋体" w:cs="宋体"/>
                <w:b/>
                <w:sz w:val="24"/>
                <w:lang w:bidi="ar"/>
              </w:rPr>
              <w:t xml:space="preserve">（提供特医产品标签说明书）</w:t>
            </w:r>
            <w:r>
              <w:rPr>
                <w:rFonts w:hint="eastAsia" w:ascii="宋体" w:hAnsi="宋体" w:cs="宋体"/>
                <w:sz w:val="24"/>
                <w:lang w:bidi="ar"/>
              </w:rPr>
              <w:t xml:space="preserve">；</w:t>
            </w:r>
            <w:r>
              <w:rPr>
                <w:rFonts w:hint="eastAsia" w:ascii="宋体" w:hAnsi="宋体" w:cs="宋体"/>
                <w:sz w:val="24"/>
              </w:rPr>
            </w:r>
            <w:r/>
          </w:p>
          <w:p>
            <w:pPr>
              <w:pStyle w:val="1070"/>
              <w:jc w:val="left"/>
              <w:rPr>
                <w:rFonts w:ascii="宋体" w:hAnsi="宋体"/>
                <w:sz w:val="24"/>
              </w:rPr>
            </w:pPr>
            <w:r>
              <w:rPr>
                <w:rFonts w:hint="eastAsia" w:ascii="宋体" w:hAnsi="宋体" w:cs="宋体"/>
                <w:sz w:val="24"/>
                <w:lang w:bidi="ar"/>
              </w:rPr>
              <w:t xml:space="preserve">5. 每1</w:t>
            </w:r>
            <w:r>
              <w:rPr>
                <w:rFonts w:ascii="宋体" w:hAnsi="宋体" w:cs="宋体"/>
                <w:sz w:val="24"/>
                <w:lang w:bidi="ar"/>
              </w:rPr>
              <w:t xml:space="preserve">00</w:t>
            </w:r>
            <w:r>
              <w:rPr>
                <w:rFonts w:hint="eastAsia" w:ascii="宋体" w:hAnsi="宋体" w:cs="宋体"/>
                <w:sz w:val="24"/>
                <w:lang w:bidi="ar"/>
              </w:rPr>
              <w:t xml:space="preserve">ml含电解质钠＜50</w:t>
            </w:r>
            <w:r>
              <w:rPr>
                <w:rFonts w:ascii="宋体" w:hAnsi="宋体" w:cs="宋体"/>
                <w:sz w:val="24"/>
                <w:lang w:bidi="ar"/>
              </w:rPr>
              <w:t xml:space="preserve">mg</w:t>
            </w:r>
            <w:r>
              <w:rPr>
                <w:rFonts w:hint="eastAsia" w:ascii="宋体" w:hAnsi="宋体" w:cs="宋体"/>
                <w:b/>
                <w:sz w:val="24"/>
                <w:lang w:bidi="ar"/>
              </w:rPr>
              <w:t xml:space="preserve">（提供特医产品标签说明书）</w:t>
            </w:r>
            <w:r>
              <w:rPr>
                <w:rFonts w:hint="eastAsia" w:ascii="宋体" w:hAnsi="宋体" w:cs="宋体"/>
                <w:sz w:val="24"/>
                <w:lang w:bidi="ar"/>
              </w:rPr>
              <w:t xml:space="preserve">。</w:t>
            </w:r>
            <w:r>
              <w:rPr>
                <w:rFonts w:ascii="宋体" w:hAnsi="宋体"/>
                <w:sz w:val="24"/>
              </w:rPr>
            </w:r>
            <w:r/>
          </w:p>
        </w:tc>
      </w:tr>
    </w:tbl>
    <w:p>
      <w:pPr>
        <w:pStyle w:val="1070"/>
        <w:contextualSpacing/>
        <w:ind w:firstLine="482"/>
        <w:spacing w:line="360" w:lineRule="auto"/>
        <w:tabs>
          <w:tab w:val="left" w:pos="567" w:leader="none"/>
          <w:tab w:val="left" w:pos="1134" w:leader="none"/>
        </w:tabs>
        <w:rPr>
          <w:rFonts w:ascii="宋体" w:hAnsi="宋体" w:cs="等线"/>
          <w:b/>
          <w:bCs/>
          <w:sz w:val="24"/>
        </w:rPr>
      </w:pPr>
      <w:r>
        <w:rPr>
          <w:rFonts w:hint="eastAsia" w:ascii="宋体" w:hAnsi="宋体" w:cs="等线"/>
          <w:b/>
          <w:bCs/>
          <w:sz w:val="24"/>
        </w:rPr>
        <w:t xml:space="preserve">3.质量要求</w:t>
      </w:r>
      <w:r>
        <w:rPr>
          <w:rFonts w:ascii="宋体" w:hAnsi="宋体" w:cs="等线"/>
          <w:b/>
          <w:bCs/>
          <w:sz w:val="24"/>
        </w:rPr>
      </w:r>
      <w:r/>
    </w:p>
    <w:p>
      <w:pPr>
        <w:pStyle w:val="1070"/>
        <w:contextualSpacing/>
        <w:ind w:firstLine="482"/>
        <w:spacing w:line="360" w:lineRule="auto"/>
        <w:tabs>
          <w:tab w:val="left" w:pos="567" w:leader="none"/>
          <w:tab w:val="left" w:pos="1134" w:leader="none"/>
        </w:tabs>
        <w:rPr>
          <w:rFonts w:hint="eastAsia" w:ascii="宋体" w:hAnsi="宋体" w:cs="宋体"/>
          <w:b/>
          <w:bCs/>
          <w:sz w:val="24"/>
        </w:rPr>
      </w:pPr>
      <w:r>
        <w:rPr>
          <w:rFonts w:hint="eastAsia" w:ascii="宋体" w:hAnsi="宋体" w:cs="宋体"/>
          <w:b/>
          <w:bCs/>
          <w:sz w:val="24"/>
        </w:rPr>
        <w:t xml:space="preserve">★3.1 产品的要求：</w:t>
      </w:r>
      <w:r/>
    </w:p>
    <w:p>
      <w:pPr>
        <w:pStyle w:val="1070"/>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★①具有有效的特殊医学用途配方食品注册证，在国家市场监督管理总局特殊食品信息查询平台可查</w:t>
      </w:r>
      <w:r>
        <w:rPr>
          <w:rFonts w:hint="eastAsia" w:ascii="宋体" w:hAnsi="宋体" w:cs="宋体"/>
          <w:b/>
          <w:bCs/>
          <w:sz w:val="24"/>
        </w:rPr>
        <w:t xml:space="preserve">（提供特殊医学用途配方食品注册证复印件、国家市场监督管理总局特殊食品信息查询平台查询截图）</w:t>
      </w:r>
      <w:r>
        <w:rPr>
          <w:rFonts w:hint="eastAsia" w:ascii="宋体" w:hAnsi="宋体" w:cs="宋体"/>
          <w:bCs/>
          <w:sz w:val="24"/>
        </w:rPr>
        <w:t xml:space="preserve">；</w:t>
      </w:r>
      <w:r/>
    </w:p>
    <w:p>
      <w:pPr>
        <w:pStyle w:val="1070"/>
        <w:contextualSpacing/>
        <w:ind w:firstLine="480"/>
        <w:spacing w:line="360" w:lineRule="auto"/>
        <w:tabs>
          <w:tab w:val="left" w:pos="567" w:leader="none"/>
          <w:tab w:val="left" w:pos="1134" w:leader="none"/>
        </w:tabs>
        <w:rPr>
          <w:rFonts w:hint="eastAsia" w:ascii="宋体" w:hAnsi="宋体" w:cs="宋体"/>
          <w:b/>
          <w:bCs/>
          <w:sz w:val="24"/>
        </w:rPr>
      </w:pPr>
      <w:r>
        <w:rPr>
          <w:rFonts w:hint="eastAsia" w:ascii="宋体" w:hAnsi="宋体" w:cs="宋体"/>
          <w:bCs/>
          <w:sz w:val="24"/>
        </w:rPr>
        <w:t xml:space="preserve">★②在江苏省药品（医用耗材）阳光采购平台挂网，并在执行期内</w:t>
      </w:r>
      <w:r>
        <w:rPr>
          <w:rFonts w:hint="eastAsia" w:ascii="宋体" w:hAnsi="宋体" w:cs="宋体"/>
          <w:b/>
          <w:bCs/>
          <w:sz w:val="24"/>
        </w:rPr>
        <w:t xml:space="preserve">（提供江苏省药品（医用耗材）阳光采购平台挂网截图）</w:t>
      </w:r>
      <w:r/>
    </w:p>
    <w:p>
      <w:pPr>
        <w:pStyle w:val="1070"/>
        <w:contextualSpacing/>
        <w:ind w:firstLine="480"/>
        <w:spacing w:line="360" w:lineRule="auto"/>
        <w:tabs>
          <w:tab w:val="left" w:pos="567" w:leader="none"/>
          <w:tab w:val="left" w:pos="1134" w:leader="none"/>
        </w:tabs>
        <w:rPr>
          <w:rFonts w:hint="eastAsia" w:ascii="宋体" w:hAnsi="宋体" w:cs="宋体"/>
          <w:b/>
          <w:bCs/>
          <w:sz w:val="24"/>
        </w:rPr>
      </w:pPr>
      <w:r>
        <w:rPr>
          <w:rFonts w:hint="eastAsia" w:ascii="宋体" w:hAnsi="宋体" w:cs="宋体"/>
          <w:bCs/>
          <w:sz w:val="24"/>
        </w:rPr>
        <w:t xml:space="preserve">③投标人须执行江苏省药品（医用耗材）阳光采购平台相关管理规定。</w:t>
      </w:r>
      <w:r>
        <w:rPr>
          <w:rFonts w:hint="eastAsia" w:ascii="宋体" w:hAnsi="宋体" w:cs="宋体"/>
          <w:b/>
          <w:bCs/>
          <w:sz w:val="24"/>
        </w:rPr>
      </w:r>
      <w:r/>
    </w:p>
    <w:p>
      <w:pPr>
        <w:pStyle w:val="1070"/>
        <w:contextualSpacing/>
        <w:ind w:firstLine="480"/>
        <w:spacing w:line="360" w:lineRule="auto"/>
        <w:tabs>
          <w:tab w:val="left" w:pos="567" w:leader="none"/>
          <w:tab w:val="left" w:pos="1134" w:leader="none"/>
        </w:tabs>
        <w:rPr>
          <w:rFonts w:hint="eastAsia" w:ascii="宋体" w:hAnsi="宋体" w:cs="宋体"/>
          <w:b/>
          <w:bCs/>
          <w:sz w:val="24"/>
        </w:rPr>
      </w:pPr>
      <w:r>
        <w:rPr>
          <w:rFonts w:hint="eastAsia" w:ascii="宋体" w:hAnsi="宋体" w:cs="宋体"/>
          <w:bCs/>
          <w:sz w:val="24"/>
        </w:rPr>
        <w:t xml:space="preserve">★④投标人承诺：服务期内，投标产品在江苏省药品（医用耗材）阳光采购平台挂网价出现价格调整的，采购人有权终止采购合同。</w:t>
      </w:r>
      <w:r>
        <w:rPr>
          <w:rFonts w:hint="eastAsia" w:ascii="宋体" w:hAnsi="宋体" w:cs="宋体"/>
          <w:b/>
          <w:bCs/>
          <w:sz w:val="24"/>
        </w:rPr>
        <w:t xml:space="preserve">（提供承诺函（格式自拟）加盖投标人公章）</w:t>
      </w:r>
      <w:r/>
    </w:p>
    <w:p>
      <w:pPr>
        <w:pStyle w:val="1070"/>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★3.2 所供的食品必须符合《中华人民共和国食品安全法》、《中华人民共和国食品质量法》、《食品安全国家标准管理办法》、《特殊医学用途配方食品通则》、《特殊医学用途配方食品企业良好生产规范》以及相关国家标准和技术规范的规定要求。所供食品必须符合国家行业生产及经营标准，均能提供相应批次的合格检验证明。</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1070"/>
        <w:ind w:firstLine="480"/>
        <w:spacing w:line="360" w:lineRule="auto"/>
        <w:tabs>
          <w:tab w:val="left" w:pos="567" w:leader="none"/>
          <w:tab w:val="left" w:pos="1134" w:leader="none"/>
        </w:tabs>
        <w:rPr>
          <w:rFonts w:ascii="宋体" w:hAnsi="宋体" w:cs="宋体"/>
          <w:bCs/>
          <w:sz w:val="24"/>
        </w:rPr>
      </w:pPr>
      <w:r>
        <w:rPr>
          <w:rFonts w:hint="eastAsia" w:ascii="宋体" w:hAnsi="宋体" w:cs="宋体"/>
          <w:bCs/>
          <w:sz w:val="24"/>
        </w:rPr>
        <w:t xml:space="preserve">3.3 投标人必须负责中标食品的运输、质量检测等工作，所产生的费用由投标人负责。</w:t>
      </w:r>
      <w:r>
        <w:rPr>
          <w:rFonts w:ascii="宋体" w:hAnsi="宋体" w:cs="宋体"/>
          <w:bCs/>
          <w:sz w:val="24"/>
        </w:rPr>
      </w:r>
      <w:r/>
    </w:p>
    <w:p>
      <w:pPr>
        <w:pStyle w:val="1070"/>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★3.4 中标人不得变更供应食品，应严格按采购、响应文件要求（含货物名称、规格和重量等）配送，否则，采购人有权拒收。如因市场流通问题确实需要变更的，应书面向采购人申请。</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1070"/>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3.5 采购人按合同对商品进行认真验收，对不符合规格要求的商品，中标人必须无条件退货；中标人未能履行采购文件和合同所定事项， 或供应不合格的、假冒伪劣、以次充好的商品，采购人退货后将记录在案，并对中标人予以处罚， 除要承担因此产生的一切损失和费用外，情节严重的可取消其中标资格。 </w:t>
      </w:r>
      <w:r/>
    </w:p>
    <w:p>
      <w:pPr>
        <w:pStyle w:val="1070"/>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★3.6 如因所供食品质量或品质问题造成人员身体不适、身体伤害及经济损失的，须由中标人立即派专人到现场妥善处理，做好安抚工作和善后事宜，并承担所产生的一切费用、赔偿由此发生的一切经济损失。 </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1070"/>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★3.7 如在合同执行阶段，中标人提供的货物质量及服务与响应文件所承诺的不符，采购人有权终止合同，并承担相关责任。 </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1070"/>
        <w:contextualSpacing/>
        <w:ind w:firstLine="480"/>
        <w:spacing w:line="360" w:lineRule="auto"/>
        <w:tabs>
          <w:tab w:val="left" w:pos="567" w:leader="none"/>
          <w:tab w:val="left" w:pos="1134" w:leader="none"/>
        </w:tabs>
        <w:rPr>
          <w:rFonts w:hint="eastAsia" w:ascii="宋体" w:hAnsi="宋体" w:cs="宋体"/>
          <w:bCs/>
          <w:sz w:val="24"/>
        </w:rPr>
      </w:pPr>
      <w:r>
        <w:rPr>
          <w:rFonts w:hint="eastAsia" w:ascii="宋体" w:hAnsi="宋体" w:cs="宋体"/>
          <w:bCs/>
          <w:sz w:val="24"/>
        </w:rPr>
        <w:t xml:space="preserve">★3.8 非采购人的人为原因而出现食品质量，由中标人负责包换或包退，并承担因此而产生的一切费用。此类情况如出现 3 次的，采购人将单方面无条件解除合同，中标人将承担由此给采购人带来的损失。</w:t>
      </w:r>
      <w:r>
        <w:rPr>
          <w:rFonts w:hint="eastAsia" w:ascii="宋体" w:hAnsi="宋体" w:cs="宋体"/>
          <w:b/>
          <w:bCs/>
          <w:sz w:val="24"/>
        </w:rPr>
        <w:t xml:space="preserve">（提供承诺函（格式自拟）加盖投标人公章）</w:t>
      </w:r>
      <w:r>
        <w:rPr>
          <w:rFonts w:hint="eastAsia" w:ascii="宋体" w:hAnsi="宋体" w:cs="宋体"/>
          <w:bCs/>
          <w:sz w:val="24"/>
        </w:rPr>
      </w:r>
      <w:r/>
    </w:p>
    <w:p>
      <w:pPr>
        <w:pStyle w:val="1070"/>
        <w:contextualSpacing/>
        <w:ind w:firstLine="480"/>
        <w:spacing w:line="360" w:lineRule="auto"/>
        <w:tabs>
          <w:tab w:val="left" w:pos="567" w:leader="none"/>
          <w:tab w:val="left" w:pos="1134" w:leader="none"/>
        </w:tabs>
        <w:rPr>
          <w:rFonts w:ascii="宋体" w:hAnsi="宋体" w:cs="等线"/>
          <w:sz w:val="24"/>
        </w:rPr>
      </w:pPr>
      <w:r>
        <w:rPr>
          <w:rFonts w:hint="eastAsia" w:ascii="宋体" w:hAnsi="宋体" w:cs="宋体"/>
          <w:bCs/>
          <w:sz w:val="24"/>
        </w:rPr>
        <w:t xml:space="preserve">3.9 保质期：≥12个月，质保期到期前六个月供货商免费更换新品。</w:t>
      </w:r>
      <w:r>
        <w:rPr>
          <w:rFonts w:ascii="宋体" w:hAnsi="宋体" w:cs="等线"/>
          <w:sz w:val="24"/>
        </w:rPr>
      </w:r>
      <w:r/>
    </w:p>
    <w:p>
      <w:pPr>
        <w:pStyle w:val="1070"/>
        <w:contextualSpacing/>
        <w:ind w:firstLine="482"/>
        <w:spacing w:line="360" w:lineRule="auto"/>
        <w:tabs>
          <w:tab w:val="left" w:pos="567" w:leader="none"/>
          <w:tab w:val="left" w:pos="1134" w:leader="none"/>
        </w:tabs>
        <w:rPr>
          <w:rFonts w:ascii="宋体" w:hAnsi="宋体" w:cs="等线"/>
          <w:b/>
          <w:bCs/>
          <w:i/>
          <w:iCs/>
          <w:sz w:val="24"/>
        </w:rPr>
      </w:pPr>
      <w:r>
        <w:rPr>
          <w:rFonts w:hint="eastAsia" w:ascii="宋体" w:hAnsi="宋体" w:cs="等线"/>
          <w:b/>
          <w:bCs/>
          <w:sz w:val="24"/>
        </w:rPr>
        <w:t xml:space="preserve">4.验收标准</w:t>
      </w:r>
      <w:r>
        <w:rPr>
          <w:rFonts w:ascii="宋体" w:hAnsi="宋体" w:cs="等线"/>
          <w:b/>
          <w:bCs/>
          <w:i/>
          <w:iCs/>
          <w:sz w:val="24"/>
        </w:rPr>
      </w:r>
      <w:r/>
    </w:p>
    <w:p>
      <w:pPr>
        <w:pStyle w:val="1070"/>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4.1 采购人按照《中华人民共和国食品安全法》、《中华人民共和国食品质量法》、《食品安全国家标准管理办法》、《特殊医学用途配方食品通则》、《特殊医学用途配方食品企业良好生产规范》及采购人相关部门的质量标准和有关要求对货物进行验收。</w:t>
      </w:r>
      <w:r>
        <w:rPr>
          <w:rFonts w:ascii="宋体" w:hAnsi="宋体" w:cs="等线"/>
          <w:b/>
          <w:sz w:val="24"/>
        </w:rPr>
      </w:r>
      <w:r/>
    </w:p>
    <w:p>
      <w:pPr>
        <w:pStyle w:val="1070"/>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4.2 双方对质量有争议，如需将货物送至交货地所在具有资质的质量检测机构检测的，所产生的费用由中标人负责。</w:t>
      </w:r>
      <w:r>
        <w:rPr>
          <w:rFonts w:ascii="宋体" w:hAnsi="宋体" w:cs="等线"/>
          <w:b/>
          <w:sz w:val="24"/>
        </w:rPr>
      </w:r>
      <w:r/>
    </w:p>
    <w:p>
      <w:pPr>
        <w:pStyle w:val="1070"/>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4.3 合同期内，采购人将对货物质量进行不定期的抽查(食品安全事故调套、接到投诉调查而送检不受此次数限制)，对抽查发现货物质量(含包装)不合格的，责令中标人对该批次产品作出更换、退货。</w:t>
      </w:r>
      <w:r>
        <w:rPr>
          <w:rFonts w:ascii="宋体" w:hAnsi="宋体" w:cs="等线"/>
          <w:b/>
          <w:sz w:val="24"/>
        </w:rPr>
      </w:r>
      <w:r/>
    </w:p>
    <w:p>
      <w:pPr>
        <w:pStyle w:val="1070"/>
        <w:contextualSpacing/>
        <w:ind w:firstLine="482"/>
        <w:spacing w:line="360" w:lineRule="auto"/>
        <w:widowControl/>
        <w:tabs>
          <w:tab w:val="left" w:pos="567" w:leader="none"/>
          <w:tab w:val="left" w:pos="1134" w:leader="none"/>
        </w:tabs>
        <w:rPr>
          <w:rFonts w:ascii="宋体" w:hAnsi="宋体" w:cs="等线"/>
          <w:b/>
          <w:sz w:val="24"/>
        </w:rPr>
      </w:pPr>
      <w:r>
        <w:rPr>
          <w:rFonts w:hint="eastAsia" w:ascii="宋体" w:hAnsi="宋体" w:cs="等线"/>
          <w:b/>
          <w:sz w:val="24"/>
        </w:rPr>
        <w:t xml:space="preserve">四、报价方式</w:t>
      </w:r>
      <w:r>
        <w:rPr>
          <w:rFonts w:ascii="宋体" w:hAnsi="宋体" w:cs="等线"/>
          <w:b/>
          <w:sz w:val="24"/>
        </w:rPr>
      </w:r>
      <w:r/>
    </w:p>
    <w:p>
      <w:pPr>
        <w:pStyle w:val="1070"/>
        <w:ind w:firstLine="480"/>
        <w:spacing w:line="360" w:lineRule="auto"/>
        <w:rPr>
          <w:rFonts w:ascii="宋体" w:hAnsi="宋体" w:cs="等线"/>
          <w:sz w:val="24"/>
        </w:rPr>
      </w:pPr>
      <w:r>
        <w:rPr>
          <w:rFonts w:hint="eastAsia" w:ascii="宋体" w:hAnsi="宋体" w:cs="等线"/>
          <w:sz w:val="24"/>
        </w:rPr>
        <w:t xml:space="preserve">本项目投标报价为</w:t>
      </w:r>
      <w:r>
        <w:rPr>
          <w:rFonts w:hint="eastAsia" w:ascii="宋体" w:hAnsi="宋体" w:cs="等线"/>
          <w:b/>
          <w:bCs/>
          <w:sz w:val="24"/>
          <w:u w:val="single"/>
        </w:rPr>
        <w:t xml:space="preserve">固定单价</w:t>
      </w:r>
      <w:r>
        <w:rPr>
          <w:rFonts w:hint="eastAsia" w:ascii="宋体" w:hAnsi="宋体" w:cs="等线"/>
          <w:sz w:val="24"/>
        </w:rPr>
        <w:t xml:space="preserve">，投标报价应包括采购文件所确定的采购范围相应货物和服务的供货、包装、物流运输、保险、管理、劳务、验收、利润、风险、税金及政策性文件规定等各项应有费用，以及为完成该项货物或者服务项目所涉及到的一切相关费用，采购人不再支付其他任何费用。</w:t>
      </w:r>
      <w:r>
        <w:rPr>
          <w:rFonts w:ascii="宋体" w:hAnsi="宋体" w:cs="等线"/>
          <w:sz w:val="24"/>
        </w:rPr>
      </w:r>
      <w:r/>
    </w:p>
    <w:p>
      <w:pPr>
        <w:pStyle w:val="1070"/>
        <w:contextualSpacing/>
        <w:ind w:firstLine="490"/>
        <w:spacing w:line="360" w:lineRule="auto"/>
        <w:tabs>
          <w:tab w:val="left" w:pos="567" w:leader="none"/>
          <w:tab w:val="left" w:pos="1134" w:leader="none"/>
        </w:tabs>
        <w:rPr>
          <w:rFonts w:ascii="宋体" w:hAnsi="宋体" w:cs="等线"/>
          <w:b/>
          <w:bCs/>
          <w:sz w:val="24"/>
        </w:rPr>
      </w:pPr>
      <w:r>
        <w:rPr>
          <w:rFonts w:hint="eastAsia" w:ascii="宋体" w:hAnsi="宋体" w:cs="宋体"/>
          <w:b/>
          <w:bCs/>
          <w:spacing w:val="2"/>
          <w:sz w:val="24"/>
        </w:rPr>
        <w:t xml:space="preserve">注：标的物品纳入采购人SPD平台管理范围。</w:t>
      </w:r>
      <w:r>
        <w:rPr>
          <w:rFonts w:ascii="宋体" w:hAnsi="宋体" w:cs="等线"/>
          <w:b/>
          <w:bCs/>
          <w:sz w:val="24"/>
        </w:rPr>
      </w:r>
      <w:r/>
    </w:p>
    <w:p>
      <w:pPr>
        <w:pStyle w:val="1070"/>
        <w:rPr>
          <w:rFonts w:ascii="宋体" w:hAnsi="宋体"/>
        </w:rPr>
      </w:pPr>
      <w:r>
        <w:rPr>
          <w:rFonts w:ascii="宋体" w:hAnsi="宋体"/>
        </w:rPr>
      </w:r>
      <w:r/>
    </w:p>
    <w:p>
      <w:pPr>
        <w:pStyle w:val="1070"/>
        <w:jc w:val="left"/>
        <w:widowControl/>
        <w:rPr>
          <w:rFonts w:ascii="宋体" w:hAnsi="宋体"/>
          <w:b/>
          <w:sz w:val="36"/>
          <w:szCs w:val="36"/>
        </w:rPr>
      </w:pPr>
      <w:r>
        <w:rPr>
          <w:rFonts w:ascii="宋体" w:hAnsi="宋体"/>
          <w:b/>
          <w:sz w:val="36"/>
          <w:szCs w:val="36"/>
        </w:rPr>
        <w:br w:type="page" w:clear="all"/>
        <w:t xml:space="preserve"> </w:t>
      </w:r>
      <w:r/>
    </w:p>
    <w:p>
      <w:pPr>
        <w:pStyle w:val="1070"/>
        <w:jc w:val="center"/>
        <w:spacing w:line="360" w:lineRule="auto"/>
        <w:rPr>
          <w:rFonts w:hint="eastAsia" w:ascii="宋体" w:hAnsi="宋体"/>
          <w:b/>
          <w:sz w:val="36"/>
          <w:szCs w:val="36"/>
        </w:rPr>
        <w:outlineLvl w:val="0"/>
      </w:pPr>
      <w:r/>
      <w:bookmarkStart w:id="819" w:name="_Toc99301425"/>
      <w:r>
        <w:rPr>
          <w:rFonts w:ascii="宋体" w:hAnsi="宋体"/>
          <w:b/>
          <w:sz w:val="36"/>
          <w:szCs w:val="36"/>
        </w:rPr>
        <w:t xml:space="preserve">第六章   拟签订的合同文本</w:t>
      </w:r>
      <w:bookmarkEnd w:id="819"/>
      <w:r>
        <w:rPr>
          <w:rFonts w:hint="eastAsia" w:ascii="宋体" w:hAnsi="宋体"/>
          <w:b/>
          <w:sz w:val="36"/>
          <w:szCs w:val="36"/>
        </w:rPr>
      </w:r>
      <w:r/>
    </w:p>
    <w:p>
      <w:pPr>
        <w:pStyle w:val="1070"/>
        <w:jc w:val="center"/>
        <w:rPr>
          <w:b/>
          <w:sz w:val="44"/>
          <w:szCs w:val="44"/>
        </w:rPr>
      </w:pPr>
      <w:r/>
      <w:bookmarkStart w:id="820" w:name="OLE_LINK4"/>
      <w:r>
        <w:rPr>
          <w:rFonts w:hint="eastAsia" w:cs="宋体"/>
          <w:b/>
          <w:sz w:val="44"/>
          <w:szCs w:val="44"/>
          <w:lang w:bidi="ar"/>
        </w:rPr>
        <w:t xml:space="preserve">供货合同</w:t>
      </w:r>
      <w:r>
        <w:rPr>
          <w:b/>
          <w:sz w:val="44"/>
          <w:szCs w:val="44"/>
        </w:rPr>
      </w:r>
      <w:r/>
    </w:p>
    <w:p>
      <w:pPr>
        <w:pStyle w:val="1070"/>
        <w:jc w:val="center"/>
        <w:rPr>
          <w:rFonts w:ascii="宋体" w:hAnsi="宋体"/>
          <w:b/>
          <w:sz w:val="24"/>
        </w:rPr>
      </w:pPr>
      <w:r/>
      <w:bookmarkEnd w:id="820"/>
      <w:r>
        <w:rPr>
          <w:rFonts w:hint="eastAsia" w:ascii="宋体" w:hAnsi="宋体"/>
          <w:b/>
          <w:sz w:val="24"/>
        </w:rPr>
        <w:t xml:space="preserve">（合同编号：</w:t>
      </w:r>
      <w:r>
        <w:rPr>
          <w:rFonts w:hint="eastAsia" w:ascii="宋体" w:hAnsi="宋体"/>
          <w:b/>
          <w:sz w:val="24"/>
          <w:u w:val="single"/>
        </w:rPr>
        <w:t xml:space="preserve">  </w:t>
      </w:r>
      <w:r>
        <w:rPr>
          <w:rFonts w:ascii="宋体" w:hAnsi="宋体"/>
          <w:b/>
          <w:sz w:val="24"/>
          <w:u w:val="single"/>
        </w:rPr>
        <w:t xml:space="preserve">           </w:t>
      </w:r>
      <w:r>
        <w:rPr>
          <w:rFonts w:hint="eastAsia" w:ascii="宋体" w:hAnsi="宋体"/>
          <w:b/>
          <w:sz w:val="24"/>
        </w:rPr>
        <w:t xml:space="preserve">）</w:t>
      </w:r>
      <w:r>
        <w:rPr>
          <w:rFonts w:ascii="宋体" w:hAnsi="宋体"/>
          <w:b/>
          <w:sz w:val="24"/>
        </w:rPr>
      </w:r>
      <w:r/>
    </w:p>
    <w:p>
      <w:pPr>
        <w:pStyle w:val="1070"/>
        <w:spacing w:line="360" w:lineRule="auto"/>
        <w:rPr>
          <w:rFonts w:ascii="宋体" w:hAnsi="宋体" w:cs="宋体"/>
          <w:b/>
          <w:sz w:val="24"/>
          <w:lang w:bidi="ar"/>
        </w:rPr>
      </w:pPr>
      <w:r>
        <w:rPr>
          <w:rFonts w:ascii="宋体" w:hAnsi="宋体" w:cs="宋体"/>
          <w:b/>
          <w:sz w:val="24"/>
          <w:lang w:bidi="ar"/>
        </w:rPr>
      </w:r>
      <w:r/>
    </w:p>
    <w:p>
      <w:pPr>
        <w:pStyle w:val="1070"/>
        <w:spacing w:line="360" w:lineRule="auto"/>
        <w:rPr>
          <w:rFonts w:ascii="宋体" w:hAnsi="宋体" w:cs="宋体"/>
          <w:b/>
          <w:sz w:val="24"/>
          <w:lang w:bidi="ar"/>
        </w:rPr>
      </w:pPr>
      <w:r>
        <w:rPr>
          <w:rFonts w:hint="eastAsia" w:ascii="宋体" w:hAnsi="宋体" w:cs="Arial"/>
          <w:b/>
          <w:spacing w:val="-5"/>
          <w:sz w:val="24"/>
          <w:lang w:val="en-AU"/>
        </w:rPr>
        <w:t xml:space="preserve">采购人（甲方）</w:t>
      </w:r>
      <w:r>
        <w:rPr>
          <w:rFonts w:hint="eastAsia" w:ascii="宋体" w:hAnsi="宋体" w:cs="宋体"/>
          <w:b/>
          <w:sz w:val="24"/>
          <w:lang w:bidi="ar"/>
        </w:rPr>
        <w:t xml:space="preserve">：常州市中医医院</w:t>
      </w:r>
      <w:r>
        <w:rPr>
          <w:rFonts w:ascii="宋体" w:hAnsi="宋体" w:cs="宋体"/>
          <w:b/>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社会统一代码：123204004672859009</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单位地址：常州市天宁区和平北路25号</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单位电话：0519-89896989</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开户银行：建行常州延陵路支行</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行号</w:t>
      </w:r>
      <w:r>
        <w:rPr>
          <w:rFonts w:ascii="宋体" w:hAnsi="宋体" w:cs="宋体"/>
          <w:sz w:val="24"/>
          <w:lang w:bidi="ar"/>
        </w:rPr>
        <w:t xml:space="preserve">：105301000013</w:t>
      </w:r>
      <w:r/>
    </w:p>
    <w:p>
      <w:pPr>
        <w:pStyle w:val="1070"/>
        <w:spacing w:line="360" w:lineRule="auto"/>
        <w:rPr>
          <w:rFonts w:ascii="宋体" w:hAnsi="宋体" w:cs="宋体"/>
          <w:sz w:val="24"/>
          <w:lang w:bidi="ar"/>
        </w:rPr>
      </w:pPr>
      <w:r>
        <w:rPr>
          <w:rFonts w:hint="eastAsia" w:ascii="宋体" w:hAnsi="宋体" w:cs="宋体"/>
          <w:sz w:val="24"/>
          <w:lang w:bidi="ar"/>
        </w:rPr>
        <w:t xml:space="preserve">银行账号：32001628536059500008</w:t>
      </w:r>
      <w:r>
        <w:rPr>
          <w:rFonts w:ascii="宋体" w:hAnsi="宋体" w:cs="宋体"/>
          <w:sz w:val="24"/>
          <w:lang w:bidi="ar"/>
        </w:rPr>
      </w:r>
      <w:r/>
    </w:p>
    <w:p>
      <w:pPr>
        <w:pStyle w:val="1070"/>
        <w:spacing w:line="360" w:lineRule="auto"/>
        <w:rPr>
          <w:rFonts w:ascii="宋体" w:hAnsi="宋体"/>
          <w:b/>
          <w:sz w:val="24"/>
        </w:rPr>
      </w:pPr>
      <w:r>
        <w:rPr>
          <w:rFonts w:hint="eastAsia" w:ascii="宋体" w:hAnsi="宋体" w:cs="Arial"/>
          <w:b/>
          <w:spacing w:val="-5"/>
          <w:sz w:val="24"/>
          <w:lang w:val="en-AU"/>
        </w:rPr>
        <w:t xml:space="preserve">供应商（乙方）</w:t>
      </w:r>
      <w:r>
        <w:rPr>
          <w:rFonts w:hint="eastAsia" w:ascii="宋体" w:hAnsi="宋体" w:cs="宋体"/>
          <w:b/>
          <w:sz w:val="24"/>
          <w:lang w:bidi="ar"/>
        </w:rPr>
        <w:t xml:space="preserve">：</w:t>
      </w:r>
      <w:r>
        <w:rPr>
          <w:rFonts w:ascii="宋体" w:hAnsi="宋体"/>
          <w:b/>
          <w:sz w:val="24"/>
        </w:rPr>
      </w:r>
      <w:r/>
    </w:p>
    <w:p>
      <w:pPr>
        <w:pStyle w:val="1070"/>
        <w:spacing w:line="360" w:lineRule="auto"/>
        <w:rPr>
          <w:rFonts w:ascii="宋体" w:hAnsi="宋体" w:cs="宋体"/>
          <w:sz w:val="24"/>
          <w:lang w:bidi="ar"/>
        </w:rPr>
      </w:pPr>
      <w:r>
        <w:rPr>
          <w:rFonts w:hint="eastAsia" w:ascii="宋体" w:hAnsi="宋体" w:cs="宋体"/>
          <w:sz w:val="24"/>
          <w:lang w:bidi="ar"/>
        </w:rPr>
        <w:t xml:space="preserve">社会统一代码：</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单位地址：</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单位电话：</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开户银行：</w:t>
      </w:r>
      <w:r>
        <w:rPr>
          <w:rFonts w:ascii="宋体" w:hAnsi="宋体" w:cs="宋体"/>
          <w:sz w:val="24"/>
          <w:lang w:bidi="ar"/>
        </w:rPr>
      </w:r>
      <w:r/>
    </w:p>
    <w:p>
      <w:pPr>
        <w:pStyle w:val="1070"/>
        <w:spacing w:line="360" w:lineRule="auto"/>
        <w:rPr>
          <w:rFonts w:ascii="宋体" w:hAnsi="宋体" w:cs="宋体"/>
          <w:sz w:val="24"/>
          <w:lang w:bidi="ar"/>
        </w:rPr>
      </w:pPr>
      <w:r>
        <w:rPr>
          <w:rFonts w:hint="eastAsia" w:ascii="宋体" w:hAnsi="宋体" w:cs="宋体"/>
          <w:sz w:val="24"/>
          <w:lang w:bidi="ar"/>
        </w:rPr>
        <w:t xml:space="preserve">行号</w:t>
      </w:r>
      <w:r>
        <w:rPr>
          <w:rFonts w:ascii="宋体" w:hAnsi="宋体" w:cs="宋体"/>
          <w:sz w:val="24"/>
          <w:lang w:bidi="ar"/>
        </w:rPr>
        <w:t xml:space="preserve">：</w:t>
      </w:r>
      <w:r/>
    </w:p>
    <w:p>
      <w:pPr>
        <w:pStyle w:val="1070"/>
        <w:spacing w:line="360" w:lineRule="auto"/>
        <w:rPr>
          <w:rFonts w:ascii="宋体" w:hAnsi="宋体" w:cs="宋体"/>
          <w:sz w:val="24"/>
          <w:lang w:bidi="ar"/>
        </w:rPr>
      </w:pPr>
      <w:r>
        <w:rPr>
          <w:rFonts w:hint="eastAsia" w:ascii="宋体" w:hAnsi="宋体" w:cs="宋体"/>
          <w:sz w:val="24"/>
          <w:lang w:bidi="ar"/>
        </w:rPr>
        <w:t xml:space="preserve">银行账号：</w:t>
      </w:r>
      <w:r>
        <w:rPr>
          <w:rFonts w:ascii="宋体" w:hAnsi="宋体" w:cs="宋体"/>
          <w:sz w:val="24"/>
          <w:lang w:bidi="ar"/>
        </w:rPr>
      </w:r>
      <w:r/>
    </w:p>
    <w:p>
      <w:pPr>
        <w:pStyle w:val="1070"/>
        <w:spacing w:line="360" w:lineRule="auto"/>
        <w:rPr>
          <w:b/>
          <w:sz w:val="24"/>
        </w:rPr>
      </w:pPr>
      <w:r>
        <w:rPr>
          <w:b/>
          <w:sz w:val="24"/>
        </w:rPr>
      </w:r>
      <w:r/>
    </w:p>
    <w:p>
      <w:pPr>
        <w:pStyle w:val="1070"/>
        <w:ind w:firstLine="570"/>
        <w:spacing w:line="360" w:lineRule="auto"/>
        <w:rPr>
          <w:rFonts w:cs="宋体"/>
          <w:sz w:val="24"/>
          <w:lang w:bidi="ar"/>
        </w:rPr>
      </w:pPr>
      <w:r>
        <w:rPr>
          <w:rFonts w:hint="eastAsia" w:cs="宋体"/>
          <w:sz w:val="24"/>
          <w:lang w:bidi="ar"/>
        </w:rPr>
        <w:t xml:space="preserve">根据《中华人民共和国民法典》及</w:t>
      </w:r>
      <w:r>
        <w:rPr>
          <w:rFonts w:hint="eastAsia" w:cs="宋体"/>
          <w:sz w:val="24"/>
          <w:u w:val="single"/>
          <w:lang w:bidi="ar"/>
        </w:rPr>
        <w:t xml:space="preserve">            </w:t>
      </w:r>
      <w:r>
        <w:rPr>
          <w:rFonts w:cs="宋体"/>
          <w:sz w:val="24"/>
          <w:u w:val="single"/>
          <w:lang w:bidi="ar"/>
        </w:rPr>
        <w:t xml:space="preserve">                </w:t>
      </w:r>
      <w:r>
        <w:rPr>
          <w:rFonts w:hint="eastAsia" w:cs="宋体"/>
          <w:sz w:val="24"/>
          <w:u w:val="single"/>
          <w:lang w:bidi="ar"/>
        </w:rPr>
        <w:t xml:space="preserve">    </w:t>
      </w:r>
      <w:r>
        <w:rPr>
          <w:rFonts w:hint="eastAsia" w:cs="宋体"/>
          <w:sz w:val="24"/>
          <w:lang w:bidi="ar"/>
        </w:rPr>
        <w:t xml:space="preserve">项目（项目编号：</w:t>
      </w:r>
      <w:r>
        <w:rPr>
          <w:rFonts w:hint="eastAsia" w:cs="宋体"/>
          <w:sz w:val="24"/>
          <w:u w:val="single"/>
          <w:lang w:bidi="ar"/>
        </w:rPr>
        <w:t xml:space="preserve">               </w:t>
      </w:r>
      <w:r>
        <w:rPr>
          <w:rFonts w:hint="eastAsia" w:cs="宋体"/>
          <w:sz w:val="24"/>
          <w:lang w:bidi="ar"/>
        </w:rPr>
        <w:t xml:space="preserve">）的《采购文件》、乙方的《响应文件》及《中标通知书》，甲乙双方同意签订本合同。合同附件及本项目的《采购文件》、《投标文件》、《中标通知书》等均为本合同不可分割的部分。双方同意共同遵守如下条款：</w:t>
      </w:r>
      <w:r>
        <w:rPr>
          <w:rFonts w:cs="宋体"/>
          <w:sz w:val="24"/>
          <w:lang w:bidi="ar"/>
        </w:rPr>
      </w:r>
      <w:r/>
    </w:p>
    <w:p>
      <w:pPr>
        <w:pStyle w:val="1070"/>
        <w:ind w:firstLine="570"/>
        <w:spacing w:line="360" w:lineRule="auto"/>
        <w:rPr>
          <w:rFonts w:cs="宋体"/>
          <w:sz w:val="24"/>
          <w:lang w:bidi="ar"/>
        </w:rPr>
      </w:pPr>
      <w:r>
        <w:rPr>
          <w:rFonts w:cs="宋体"/>
          <w:sz w:val="24"/>
          <w:lang w:bidi="ar"/>
        </w:rPr>
      </w:r>
      <w:r/>
    </w:p>
    <w:p>
      <w:pPr>
        <w:pStyle w:val="1070"/>
        <w:ind w:firstLine="570"/>
        <w:spacing w:line="360" w:lineRule="auto"/>
        <w:rPr>
          <w:rFonts w:cs="宋体"/>
          <w:b/>
          <w:sz w:val="24"/>
          <w:lang w:bidi="ar"/>
        </w:rPr>
      </w:pPr>
      <w:r>
        <w:rPr>
          <w:rFonts w:hint="eastAsia" w:cs="宋体"/>
          <w:b/>
          <w:sz w:val="24"/>
          <w:lang w:bidi="ar"/>
        </w:rPr>
        <w:t xml:space="preserve">一、合同标的</w:t>
      </w:r>
      <w:r>
        <w:rPr>
          <w:rFonts w:cs="宋体"/>
          <w:b/>
          <w:sz w:val="24"/>
          <w:lang w:bidi="ar"/>
        </w:rPr>
      </w:r>
      <w:r/>
    </w:p>
    <w:p>
      <w:pPr>
        <w:pStyle w:val="1070"/>
        <w:ind w:firstLine="570"/>
        <w:spacing w:line="360" w:lineRule="auto"/>
        <w:rPr>
          <w:rFonts w:cs="宋体"/>
          <w:sz w:val="24"/>
          <w:lang w:bidi="ar"/>
        </w:rPr>
      </w:pPr>
      <w:r>
        <w:rPr>
          <w:rFonts w:hint="eastAsia" w:cs="宋体"/>
          <w:sz w:val="24"/>
          <w:lang w:bidi="ar"/>
        </w:rPr>
        <w:t xml:space="preserve">乙方根据甲方需求提供下列产品：特殊医学用途蛋白质组件配方食品（肽类），产品名称、规格及数量详见乙方投标文件。</w:t>
      </w:r>
      <w:r>
        <w:rPr>
          <w:rFonts w:cs="宋体"/>
          <w:sz w:val="24"/>
          <w:lang w:bidi="ar"/>
        </w:rPr>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8"/>
        <w:gridCol w:w="6138"/>
      </w:tblGrid>
      <w:tr>
        <w:trPr>
          <w:trHeight w:val="459"/>
        </w:trPr>
        <w:tc>
          <w:tcPr>
            <w:tcW w:w="1695" w:type="pct"/>
            <w:vAlign w:val="center"/>
            <w:textDirection w:val="lrTb"/>
            <w:noWrap w:val="false"/>
          </w:tcPr>
          <w:p>
            <w:pPr>
              <w:pStyle w:val="1070"/>
              <w:jc w:val="center"/>
              <w:rPr>
                <w:rFonts w:ascii="宋体" w:hAnsi="宋体" w:cs="宋体"/>
                <w:sz w:val="24"/>
                <w:szCs w:val="21"/>
              </w:rPr>
            </w:pPr>
            <w:r>
              <w:rPr>
                <w:rFonts w:hint="eastAsia" w:ascii="宋体" w:hAnsi="宋体" w:cs="宋体"/>
                <w:sz w:val="24"/>
                <w:szCs w:val="21"/>
              </w:rPr>
              <w:t xml:space="preserve">产品名称</w:t>
            </w:r>
            <w:r>
              <w:rPr>
                <w:rFonts w:ascii="宋体" w:hAnsi="宋体" w:cs="宋体"/>
                <w:sz w:val="24"/>
                <w:szCs w:val="21"/>
              </w:rPr>
            </w:r>
            <w:r/>
          </w:p>
        </w:tc>
        <w:tc>
          <w:tcPr>
            <w:tcW w:w="3304" w:type="pct"/>
            <w:vAlign w:val="center"/>
            <w:textDirection w:val="lrTb"/>
            <w:noWrap w:val="false"/>
          </w:tcPr>
          <w:p>
            <w:pPr>
              <w:pStyle w:val="1070"/>
              <w:jc w:val="center"/>
              <w:widowControl/>
              <w:rPr>
                <w:rFonts w:ascii="宋体" w:hAnsi="宋体" w:cs="宋体"/>
                <w:sz w:val="24"/>
                <w:szCs w:val="21"/>
              </w:rPr>
            </w:pPr>
            <w:r>
              <w:rPr>
                <w:rFonts w:hint="eastAsia" w:ascii="宋体" w:hAnsi="宋体" w:cs="宋体"/>
                <w:sz w:val="24"/>
                <w:szCs w:val="21"/>
                <w:lang w:val="zh-CN"/>
              </w:rPr>
              <w:t xml:space="preserve">特殊医学用途蛋白质组件配方食品（肽类）</w:t>
            </w:r>
            <w:r>
              <w:rPr>
                <w:rFonts w:ascii="宋体" w:hAnsi="宋体" w:cs="宋体"/>
                <w:sz w:val="24"/>
                <w:szCs w:val="21"/>
              </w:rPr>
            </w:r>
            <w:r/>
          </w:p>
        </w:tc>
      </w:tr>
      <w:tr>
        <w:trPr>
          <w:trHeight w:val="459"/>
        </w:trPr>
        <w:tc>
          <w:tcPr>
            <w:tcW w:w="1695" w:type="pct"/>
            <w:vAlign w:val="center"/>
            <w:textDirection w:val="lrTb"/>
            <w:noWrap w:val="false"/>
          </w:tcPr>
          <w:p>
            <w:pPr>
              <w:pStyle w:val="1070"/>
              <w:jc w:val="center"/>
              <w:rPr>
                <w:rFonts w:ascii="宋体" w:hAnsi="宋体" w:cs="宋体"/>
                <w:sz w:val="24"/>
                <w:szCs w:val="21"/>
              </w:rPr>
            </w:pPr>
            <w:r>
              <w:rPr>
                <w:rFonts w:hint="eastAsia" w:ascii="宋体" w:hAnsi="宋体"/>
                <w:sz w:val="24"/>
                <w:szCs w:val="21"/>
              </w:rPr>
              <w:t xml:space="preserve">商品名</w:t>
            </w:r>
            <w:r>
              <w:rPr>
                <w:rFonts w:ascii="宋体" w:hAnsi="宋体" w:cs="宋体"/>
                <w:sz w:val="24"/>
                <w:szCs w:val="21"/>
              </w:rPr>
            </w:r>
            <w:r/>
          </w:p>
        </w:tc>
        <w:tc>
          <w:tcPr>
            <w:tcW w:w="3304" w:type="pct"/>
            <w:vAlign w:val="center"/>
            <w:textDirection w:val="lrTb"/>
            <w:noWrap w:val="false"/>
          </w:tcPr>
          <w:p>
            <w:pPr>
              <w:pStyle w:val="1070"/>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1070"/>
              <w:jc w:val="center"/>
              <w:rPr>
                <w:rFonts w:ascii="宋体" w:hAnsi="宋体" w:cs="宋体"/>
                <w:sz w:val="24"/>
                <w:szCs w:val="21"/>
              </w:rPr>
            </w:pPr>
            <w:r>
              <w:rPr>
                <w:rFonts w:hint="eastAsia" w:ascii="宋体" w:hAnsi="宋体"/>
                <w:sz w:val="24"/>
                <w:szCs w:val="21"/>
              </w:rPr>
              <w:t xml:space="preserve">产品编码（阳光平台）</w:t>
            </w:r>
            <w:r>
              <w:rPr>
                <w:rFonts w:ascii="宋体" w:hAnsi="宋体" w:cs="宋体"/>
                <w:sz w:val="24"/>
                <w:szCs w:val="21"/>
              </w:rPr>
            </w:r>
            <w:r/>
          </w:p>
        </w:tc>
        <w:tc>
          <w:tcPr>
            <w:tcW w:w="3304" w:type="pct"/>
            <w:vAlign w:val="center"/>
            <w:textDirection w:val="lrTb"/>
            <w:noWrap w:val="false"/>
          </w:tcPr>
          <w:p>
            <w:pPr>
              <w:pStyle w:val="1070"/>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1070"/>
              <w:jc w:val="center"/>
              <w:rPr>
                <w:rFonts w:ascii="宋体" w:hAnsi="宋体" w:cs="宋体"/>
                <w:sz w:val="24"/>
                <w:szCs w:val="21"/>
              </w:rPr>
            </w:pPr>
            <w:r>
              <w:rPr>
                <w:rFonts w:hint="eastAsia" w:ascii="宋体" w:hAnsi="宋体"/>
                <w:sz w:val="24"/>
                <w:szCs w:val="21"/>
              </w:rPr>
              <w:t xml:space="preserve">规格</w:t>
            </w:r>
            <w:r>
              <w:rPr>
                <w:rFonts w:ascii="宋体" w:hAnsi="宋体" w:cs="宋体"/>
                <w:sz w:val="24"/>
                <w:szCs w:val="21"/>
              </w:rPr>
            </w:r>
            <w:r/>
          </w:p>
        </w:tc>
        <w:tc>
          <w:tcPr>
            <w:tcW w:w="3304" w:type="pct"/>
            <w:vAlign w:val="center"/>
            <w:textDirection w:val="lrTb"/>
            <w:noWrap w:val="false"/>
          </w:tcPr>
          <w:p>
            <w:pPr>
              <w:pStyle w:val="1070"/>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1070"/>
              <w:jc w:val="center"/>
              <w:rPr>
                <w:rFonts w:ascii="宋体" w:hAnsi="宋体"/>
                <w:sz w:val="24"/>
                <w:szCs w:val="21"/>
              </w:rPr>
            </w:pPr>
            <w:r>
              <w:rPr>
                <w:rFonts w:hint="eastAsia" w:ascii="宋体" w:hAnsi="宋体"/>
                <w:sz w:val="24"/>
                <w:szCs w:val="21"/>
              </w:rPr>
              <w:t xml:space="preserve">包装单位</w:t>
            </w:r>
            <w:r>
              <w:rPr>
                <w:rFonts w:ascii="宋体" w:hAnsi="宋体"/>
                <w:sz w:val="24"/>
                <w:szCs w:val="21"/>
              </w:rPr>
            </w:r>
            <w:r/>
          </w:p>
        </w:tc>
        <w:tc>
          <w:tcPr>
            <w:tcW w:w="3304" w:type="pct"/>
            <w:vAlign w:val="center"/>
            <w:textDirection w:val="lrTb"/>
            <w:noWrap w:val="false"/>
          </w:tcPr>
          <w:p>
            <w:pPr>
              <w:pStyle w:val="1070"/>
              <w:jc w:val="center"/>
              <w:widowControl/>
              <w:rPr>
                <w:rFonts w:ascii="宋体" w:hAnsi="宋体" w:cs="宋体"/>
                <w:sz w:val="24"/>
                <w:szCs w:val="21"/>
              </w:rPr>
            </w:pPr>
            <w:r>
              <w:rPr>
                <w:rFonts w:ascii="宋体" w:hAnsi="宋体" w:cs="宋体"/>
                <w:sz w:val="24"/>
                <w:szCs w:val="21"/>
              </w:rPr>
            </w:r>
            <w:r/>
          </w:p>
        </w:tc>
      </w:tr>
      <w:tr>
        <w:trPr>
          <w:trHeight w:val="459"/>
        </w:trPr>
        <w:tc>
          <w:tcPr>
            <w:tcW w:w="1695" w:type="pct"/>
            <w:vAlign w:val="center"/>
            <w:textDirection w:val="lrTb"/>
            <w:noWrap w:val="false"/>
          </w:tcPr>
          <w:p>
            <w:pPr>
              <w:pStyle w:val="1070"/>
              <w:jc w:val="center"/>
              <w:rPr>
                <w:rFonts w:ascii="宋体" w:hAnsi="宋体"/>
                <w:sz w:val="24"/>
                <w:szCs w:val="21"/>
              </w:rPr>
            </w:pPr>
            <w:r>
              <w:rPr>
                <w:rFonts w:hint="eastAsia" w:ascii="宋体" w:hAnsi="宋体"/>
                <w:sz w:val="24"/>
                <w:szCs w:val="21"/>
              </w:rPr>
              <w:t xml:space="preserve">投标报价</w:t>
            </w:r>
            <w:r>
              <w:rPr>
                <w:rFonts w:ascii="宋体" w:hAnsi="宋体"/>
                <w:sz w:val="24"/>
                <w:szCs w:val="21"/>
              </w:rPr>
              <w:t xml:space="preserve">（</w:t>
            </w:r>
            <w:r>
              <w:rPr>
                <w:rFonts w:hint="eastAsia" w:ascii="宋体" w:hAnsi="宋体"/>
                <w:sz w:val="24"/>
                <w:szCs w:val="21"/>
              </w:rPr>
              <w:t xml:space="preserve">最小单位报价</w:t>
            </w:r>
            <w:r>
              <w:rPr>
                <w:rFonts w:ascii="宋体" w:hAnsi="宋体"/>
                <w:sz w:val="24"/>
                <w:szCs w:val="21"/>
              </w:rPr>
              <w:t xml:space="preserve">）</w:t>
            </w:r>
            <w:r/>
          </w:p>
        </w:tc>
        <w:tc>
          <w:tcPr>
            <w:tcW w:w="3304" w:type="pct"/>
            <w:vAlign w:val="center"/>
            <w:textDirection w:val="lrTb"/>
            <w:noWrap w:val="false"/>
          </w:tcPr>
          <w:p>
            <w:pPr>
              <w:pStyle w:val="1070"/>
              <w:jc w:val="center"/>
              <w:widowControl/>
              <w:rPr>
                <w:rFonts w:hint="eastAsia" w:ascii="宋体" w:hAnsi="宋体" w:cs="宋体"/>
                <w:sz w:val="24"/>
                <w:szCs w:val="21"/>
              </w:rPr>
            </w:pPr>
            <w:r>
              <w:rPr>
                <w:rFonts w:hint="eastAsia" w:ascii="宋体" w:hAnsi="宋体" w:cs="宋体"/>
                <w:sz w:val="24"/>
                <w:szCs w:val="21"/>
                <w:u w:val="single"/>
              </w:rPr>
              <w:t xml:space="preserve"> </w:t>
            </w:r>
            <w:r>
              <w:rPr>
                <w:rFonts w:ascii="宋体" w:hAnsi="宋体" w:cs="宋体"/>
                <w:sz w:val="24"/>
                <w:szCs w:val="21"/>
                <w:u w:val="single"/>
              </w:rPr>
              <w:t xml:space="preserve">     </w:t>
            </w:r>
            <w:r>
              <w:rPr>
                <w:rFonts w:hint="eastAsia" w:ascii="宋体" w:hAnsi="宋体" w:cs="宋体"/>
                <w:sz w:val="24"/>
                <w:szCs w:val="21"/>
              </w:rPr>
              <w:t xml:space="preserve">元/毫升</w:t>
            </w:r>
            <w:r/>
          </w:p>
        </w:tc>
      </w:tr>
      <w:tr>
        <w:trPr>
          <w:trHeight w:val="459"/>
        </w:trPr>
        <w:tc>
          <w:tcPr>
            <w:tcW w:w="1695" w:type="pct"/>
            <w:vAlign w:val="center"/>
            <w:textDirection w:val="lrTb"/>
            <w:noWrap w:val="false"/>
          </w:tcPr>
          <w:p>
            <w:pPr>
              <w:pStyle w:val="1070"/>
              <w:jc w:val="center"/>
              <w:rPr>
                <w:rFonts w:ascii="宋体" w:hAnsi="宋体"/>
                <w:sz w:val="24"/>
                <w:szCs w:val="21"/>
              </w:rPr>
            </w:pPr>
            <w:r>
              <w:rPr>
                <w:rFonts w:hint="eastAsia" w:ascii="宋体" w:hAnsi="宋体"/>
                <w:sz w:val="24"/>
                <w:szCs w:val="21"/>
              </w:rPr>
              <w:t xml:space="preserve">包装</w:t>
            </w:r>
            <w:r>
              <w:rPr>
                <w:rFonts w:ascii="宋体" w:hAnsi="宋体"/>
                <w:sz w:val="24"/>
                <w:szCs w:val="21"/>
              </w:rPr>
              <w:t xml:space="preserve">价格</w:t>
            </w:r>
            <w:r/>
          </w:p>
        </w:tc>
        <w:tc>
          <w:tcPr>
            <w:tcW w:w="3304" w:type="pct"/>
            <w:vAlign w:val="center"/>
            <w:textDirection w:val="lrTb"/>
            <w:noWrap w:val="false"/>
          </w:tcPr>
          <w:p>
            <w:pPr>
              <w:pStyle w:val="1070"/>
              <w:jc w:val="center"/>
              <w:widowControl/>
              <w:rPr>
                <w:rFonts w:ascii="宋体" w:hAnsi="宋体" w:cs="宋体"/>
                <w:sz w:val="24"/>
                <w:szCs w:val="21"/>
              </w:rPr>
            </w:pPr>
            <w:r>
              <w:rPr>
                <w:rFonts w:ascii="宋体" w:hAnsi="宋体" w:cs="宋体"/>
                <w:sz w:val="24"/>
                <w:szCs w:val="21"/>
              </w:rPr>
            </w:r>
            <w:r/>
          </w:p>
        </w:tc>
      </w:tr>
      <w:tr>
        <w:trPr>
          <w:cantSplit/>
          <w:trHeight w:val="453"/>
        </w:trPr>
        <w:tc>
          <w:tcPr>
            <w:tcW w:w="1695" w:type="pct"/>
            <w:vAlign w:val="center"/>
            <w:textDirection w:val="lrTb"/>
            <w:noWrap w:val="false"/>
          </w:tcPr>
          <w:p>
            <w:pPr>
              <w:pStyle w:val="1070"/>
              <w:jc w:val="center"/>
              <w:rPr>
                <w:rFonts w:ascii="宋体" w:hAnsi="宋体" w:cs="宋体"/>
                <w:sz w:val="24"/>
                <w:szCs w:val="21"/>
              </w:rPr>
            </w:pPr>
            <w:r>
              <w:rPr>
                <w:rFonts w:hint="eastAsia" w:ascii="宋体" w:hAnsi="宋体" w:cs="宋体"/>
                <w:sz w:val="24"/>
                <w:szCs w:val="21"/>
              </w:rPr>
              <w:t xml:space="preserve">交货期限</w:t>
            </w:r>
            <w:r>
              <w:rPr>
                <w:rFonts w:ascii="宋体" w:hAnsi="宋体" w:cs="宋体"/>
                <w:sz w:val="24"/>
                <w:szCs w:val="21"/>
              </w:rPr>
            </w:r>
            <w:r/>
          </w:p>
        </w:tc>
        <w:tc>
          <w:tcPr>
            <w:tcW w:w="3304" w:type="pct"/>
            <w:vAlign w:val="center"/>
            <w:textDirection w:val="lrTb"/>
            <w:noWrap w:val="false"/>
          </w:tcPr>
          <w:p>
            <w:pPr>
              <w:pStyle w:val="1070"/>
              <w:jc w:val="center"/>
              <w:widowControl/>
              <w:rPr>
                <w:rFonts w:ascii="宋体" w:hAnsi="宋体" w:cs="宋体"/>
                <w:sz w:val="24"/>
                <w:szCs w:val="21"/>
              </w:rPr>
            </w:pPr>
            <w:r>
              <w:rPr>
                <w:rFonts w:hint="eastAsia" w:ascii="宋体" w:hAnsi="宋体" w:cs="宋体"/>
                <w:sz w:val="24"/>
                <w:szCs w:val="21"/>
              </w:rPr>
              <w:t xml:space="preserve">2年</w:t>
            </w:r>
            <w:r>
              <w:rPr>
                <w:rFonts w:ascii="宋体" w:hAnsi="宋体" w:cs="宋体"/>
                <w:sz w:val="24"/>
                <w:szCs w:val="21"/>
              </w:rPr>
            </w:r>
            <w:r/>
          </w:p>
        </w:tc>
      </w:tr>
    </w:tbl>
    <w:p>
      <w:pPr>
        <w:pStyle w:val="1070"/>
        <w:ind w:firstLine="420"/>
        <w:spacing w:line="360" w:lineRule="auto"/>
        <w:rPr>
          <w:rFonts w:hint="eastAsia" w:cs="宋体"/>
          <w:b/>
          <w:sz w:val="24"/>
          <w:lang w:bidi="ar"/>
        </w:rPr>
      </w:pPr>
      <w:r>
        <w:rPr>
          <w:rFonts w:hint="eastAsia" w:cs="宋体"/>
          <w:b/>
          <w:sz w:val="24"/>
          <w:lang w:bidi="ar"/>
        </w:rPr>
        <w:t xml:space="preserve">二、合同价格</w:t>
      </w:r>
      <w:r/>
    </w:p>
    <w:p>
      <w:pPr>
        <w:pStyle w:val="1070"/>
        <w:ind w:firstLine="482"/>
        <w:spacing w:line="360" w:lineRule="auto"/>
        <w:rPr>
          <w:rFonts w:hint="eastAsia"/>
          <w:b/>
          <w:sz w:val="24"/>
        </w:rPr>
      </w:pPr>
      <w:r>
        <w:rPr>
          <w:rFonts w:hint="eastAsia"/>
          <w:b/>
          <w:sz w:val="24"/>
        </w:rPr>
        <w:t xml:space="preserve">签约合同总价（人民币，下同）：伍拾万元（小写：500000.00元）。 </w:t>
      </w:r>
      <w:r/>
    </w:p>
    <w:p>
      <w:pPr>
        <w:pStyle w:val="1070"/>
        <w:ind w:firstLine="480"/>
        <w:spacing w:line="360" w:lineRule="auto"/>
        <w:rPr>
          <w:rFonts w:hint="eastAsia"/>
          <w:sz w:val="24"/>
        </w:rPr>
      </w:pPr>
      <w:r>
        <w:rPr>
          <w:rFonts w:hint="eastAsia"/>
          <w:sz w:val="24"/>
        </w:rPr>
        <w:t xml:space="preserve">本合同总价款包括采购范围相应货物和服务的供货、包装、物流运输、保险、管理、劳务、验收、利润、风险、税金及政策性文件规定等各项应有费用，以及为完成该项货物或者服务项目所涉及到的一切相关费用，甲方不再支付其他任何费用。</w:t>
      </w:r>
      <w:r/>
    </w:p>
    <w:p>
      <w:pPr>
        <w:pStyle w:val="1070"/>
        <w:ind w:firstLine="482"/>
        <w:spacing w:line="360" w:lineRule="auto"/>
        <w:rPr>
          <w:rFonts w:hint="eastAsia"/>
          <w:b/>
          <w:sz w:val="24"/>
        </w:rPr>
      </w:pPr>
      <w:r>
        <w:rPr>
          <w:rFonts w:hint="eastAsia"/>
          <w:b/>
          <w:sz w:val="24"/>
        </w:rPr>
        <w:t xml:space="preserve">注：标的物品纳入甲方SPD平台管理范围。</w:t>
      </w:r>
      <w:r/>
    </w:p>
    <w:p>
      <w:pPr>
        <w:pStyle w:val="1070"/>
        <w:ind w:firstLine="482"/>
        <w:spacing w:line="360" w:lineRule="auto"/>
        <w:rPr>
          <w:rFonts w:hint="eastAsia"/>
          <w:b/>
          <w:sz w:val="24"/>
        </w:rPr>
      </w:pPr>
      <w:r>
        <w:rPr>
          <w:rFonts w:hint="eastAsia"/>
          <w:b/>
          <w:sz w:val="24"/>
        </w:rPr>
        <w:t xml:space="preserve">本合同总价款还包含乙方应当提供的伴随服务/售后服务费用。</w:t>
      </w:r>
      <w:r/>
    </w:p>
    <w:p>
      <w:pPr>
        <w:pStyle w:val="1110"/>
        <w:ind w:firstLine="484"/>
        <w:spacing w:line="360" w:lineRule="auto"/>
        <w:rPr>
          <w:rFonts w:hAnsi="宋体" w:cs="宋体"/>
          <w:b/>
          <w:sz w:val="24"/>
          <w:szCs w:val="24"/>
        </w:rPr>
      </w:pPr>
      <w:r>
        <w:rPr>
          <w:rFonts w:hAnsi="宋体" w:cs="宋体"/>
          <w:b/>
          <w:sz w:val="24"/>
          <w:szCs w:val="24"/>
          <w:lang w:bidi="ar"/>
        </w:rPr>
        <w:t xml:space="preserve">三、</w:t>
      </w:r>
      <w:r>
        <w:rPr>
          <w:rFonts w:hAnsi="宋体" w:cs="宋体"/>
          <w:b/>
          <w:sz w:val="24"/>
          <w:szCs w:val="24"/>
        </w:rPr>
        <w:t xml:space="preserve">组成本合同的有关文件</w:t>
      </w:r>
      <w:r/>
    </w:p>
    <w:p>
      <w:pPr>
        <w:pStyle w:val="1110"/>
        <w:ind w:firstLine="482"/>
        <w:spacing w:line="360" w:lineRule="auto"/>
        <w:rPr>
          <w:rFonts w:hAnsi="宋体" w:cs="宋体"/>
          <w:sz w:val="24"/>
          <w:szCs w:val="24"/>
        </w:rPr>
      </w:pPr>
      <w:r>
        <w:rPr>
          <w:rFonts w:hAnsi="宋体" w:cs="宋体"/>
          <w:sz w:val="24"/>
          <w:szCs w:val="24"/>
        </w:rPr>
        <w:t xml:space="preserve">下列与本次采购活动有关的文件及有关附件是本合同不可分割的组成部分，与本合同具有同等法律效力，这些文件包括但不限于：</w:t>
      </w:r>
      <w:r/>
    </w:p>
    <w:p>
      <w:pPr>
        <w:pStyle w:val="1110"/>
        <w:ind w:firstLine="482"/>
        <w:spacing w:line="360" w:lineRule="auto"/>
        <w:rPr>
          <w:rFonts w:hAnsi="宋体" w:cs="宋体"/>
          <w:sz w:val="24"/>
          <w:szCs w:val="24"/>
        </w:rPr>
      </w:pPr>
      <w:r>
        <w:rPr>
          <w:rFonts w:hAnsi="宋体" w:cs="宋体"/>
          <w:sz w:val="24"/>
          <w:szCs w:val="24"/>
        </w:rPr>
        <w:t xml:space="preserve">（1）采购文件（编号：   ）         </w:t>
      </w:r>
      <w:r>
        <w:rPr>
          <w:rFonts w:hAnsi="宋体" w:cs="宋体"/>
          <w:sz w:val="24"/>
          <w:szCs w:val="24"/>
        </w:rPr>
      </w:r>
      <w:r/>
    </w:p>
    <w:p>
      <w:pPr>
        <w:pStyle w:val="1110"/>
        <w:ind w:firstLine="482"/>
        <w:spacing w:line="360" w:lineRule="auto"/>
        <w:rPr>
          <w:rFonts w:hAnsi="宋体" w:cs="宋体"/>
          <w:sz w:val="24"/>
          <w:szCs w:val="24"/>
        </w:rPr>
      </w:pPr>
      <w:r>
        <w:rPr>
          <w:rFonts w:hAnsi="宋体" w:cs="宋体"/>
          <w:sz w:val="24"/>
          <w:szCs w:val="24"/>
        </w:rPr>
        <w:t xml:space="preserve">（2）乙方提供的投标文件； </w:t>
      </w:r>
      <w:r/>
    </w:p>
    <w:p>
      <w:pPr>
        <w:pStyle w:val="1110"/>
        <w:ind w:firstLine="482"/>
        <w:spacing w:line="360" w:lineRule="auto"/>
        <w:rPr>
          <w:rFonts w:hAnsi="宋体" w:cs="宋体"/>
          <w:sz w:val="24"/>
          <w:szCs w:val="24"/>
        </w:rPr>
      </w:pPr>
      <w:r>
        <w:rPr>
          <w:rFonts w:hAnsi="宋体" w:cs="宋体"/>
          <w:sz w:val="24"/>
          <w:szCs w:val="24"/>
        </w:rPr>
        <w:t xml:space="preserve">（3）中标通知书；                        </w:t>
      </w:r>
      <w:r>
        <w:rPr>
          <w:rFonts w:hAnsi="宋体" w:cs="宋体"/>
          <w:sz w:val="24"/>
          <w:szCs w:val="24"/>
        </w:rPr>
      </w:r>
      <w:r/>
    </w:p>
    <w:p>
      <w:pPr>
        <w:pStyle w:val="1110"/>
        <w:ind w:firstLine="482"/>
        <w:spacing w:line="360" w:lineRule="auto"/>
        <w:rPr>
          <w:rFonts w:hAnsi="宋体" w:cs="宋体"/>
          <w:sz w:val="24"/>
          <w:szCs w:val="24"/>
        </w:rPr>
      </w:pPr>
      <w:r>
        <w:rPr>
          <w:rFonts w:hAnsi="宋体" w:cs="宋体"/>
          <w:sz w:val="24"/>
          <w:szCs w:val="24"/>
        </w:rPr>
        <w:t xml:space="preserve">（4）甲乙双方商定的其他文件等。</w:t>
      </w:r>
      <w:r/>
    </w:p>
    <w:p>
      <w:pPr>
        <w:pStyle w:val="1070"/>
        <w:ind w:firstLine="484"/>
        <w:spacing w:line="360" w:lineRule="auto"/>
        <w:rPr>
          <w:rFonts w:ascii="宋体" w:hAnsi="宋体" w:cs="宋体"/>
          <w:b/>
          <w:sz w:val="24"/>
        </w:rPr>
      </w:pPr>
      <w:r>
        <w:rPr>
          <w:rFonts w:hint="eastAsia" w:ascii="宋体" w:hAnsi="宋体" w:cs="宋体"/>
          <w:b/>
          <w:sz w:val="24"/>
        </w:rPr>
        <w:t xml:space="preserve">四、权利保证</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乙方应保证甲方在使用该货物或其任何一部分时不受第三方提出侵犯其专利权</w:t>
      </w:r>
      <w:r>
        <w:rPr>
          <w:rFonts w:hint="eastAsia" w:ascii="宋体" w:hAnsi="宋体" w:cs="宋体"/>
          <w:sz w:val="24"/>
          <w:shd w:val="clear" w:color="auto" w:fill="ffffff"/>
        </w:rPr>
        <w:t xml:space="preserve">、著作权、商标权等知识产权的起诉。</w:t>
      </w:r>
      <w:r>
        <w:rPr>
          <w:rFonts w:hint="eastAsia" w:ascii="宋体" w:hAnsi="宋体" w:cs="宋体"/>
          <w:sz w:val="24"/>
        </w:rPr>
        <w:t xml:space="preserve">一旦出现侵权、索赔或诉讼，乙方应承担全部责任，同时甲方有权解除本合同。</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五、质量保证</w:t>
      </w:r>
      <w:r>
        <w:rPr>
          <w:rFonts w:ascii="宋体" w:hAnsi="宋体" w:cs="宋体"/>
          <w:b/>
          <w:sz w:val="24"/>
        </w:rPr>
      </w:r>
      <w:r/>
    </w:p>
    <w:p>
      <w:pPr>
        <w:pStyle w:val="1070"/>
        <w:ind w:firstLine="482"/>
        <w:spacing w:line="360" w:lineRule="auto"/>
        <w:rPr>
          <w:rFonts w:hint="eastAsia" w:ascii="宋体" w:hAnsi="宋体" w:cs="宋体"/>
          <w:sz w:val="24"/>
        </w:rPr>
      </w:pPr>
      <w:r>
        <w:rPr>
          <w:rFonts w:hint="eastAsia" w:ascii="宋体" w:hAnsi="宋体" w:cs="宋体"/>
          <w:sz w:val="24"/>
        </w:rPr>
        <w:t xml:space="preserve">1.产品的要求：</w:t>
      </w:r>
      <w:r/>
    </w:p>
    <w:p>
      <w:pPr>
        <w:pStyle w:val="1070"/>
        <w:ind w:firstLine="482"/>
        <w:spacing w:line="360" w:lineRule="auto"/>
        <w:rPr>
          <w:rFonts w:hint="eastAsia" w:ascii="宋体" w:hAnsi="宋体" w:cs="宋体"/>
          <w:sz w:val="24"/>
        </w:rPr>
      </w:pPr>
      <w:r>
        <w:rPr>
          <w:rFonts w:hint="eastAsia" w:ascii="宋体" w:hAnsi="宋体" w:cs="宋体"/>
          <w:sz w:val="24"/>
        </w:rPr>
        <w:t xml:space="preserve">①具有有效的特殊医学用途配方食品注册证，在国家市场监督管理总局特殊食品信息查询平台可查；</w:t>
      </w:r>
      <w:r/>
    </w:p>
    <w:p>
      <w:pPr>
        <w:pStyle w:val="1070"/>
        <w:ind w:firstLine="482"/>
        <w:spacing w:line="360" w:lineRule="auto"/>
        <w:rPr>
          <w:rFonts w:hint="eastAsia" w:ascii="宋体" w:hAnsi="宋体" w:cs="宋体"/>
          <w:sz w:val="24"/>
        </w:rPr>
      </w:pPr>
      <w:r>
        <w:rPr>
          <w:rFonts w:hint="eastAsia" w:ascii="宋体" w:hAnsi="宋体" w:cs="宋体"/>
          <w:sz w:val="24"/>
        </w:rPr>
        <w:t xml:space="preserve">②在江苏省药品（医用耗材）阳光采购平台挂网，并在执行期内。</w:t>
      </w:r>
      <w:r/>
    </w:p>
    <w:p>
      <w:pPr>
        <w:pStyle w:val="1070"/>
        <w:ind w:firstLine="482"/>
        <w:spacing w:line="360" w:lineRule="auto"/>
        <w:rPr>
          <w:rFonts w:ascii="宋体" w:hAnsi="宋体" w:cs="宋体"/>
          <w:sz w:val="24"/>
        </w:rPr>
      </w:pPr>
      <w:r>
        <w:rPr>
          <w:rFonts w:hint="eastAsia" w:ascii="宋体" w:hAnsi="宋体" w:cs="宋体"/>
          <w:sz w:val="24"/>
        </w:rPr>
        <w:t xml:space="preserve">③乙方承诺本次中标价格可上传至江苏省药品和医用耗材招采管理系统。</w:t>
      </w:r>
      <w:r>
        <w:rPr>
          <w:rFonts w:ascii="宋体" w:hAnsi="宋体" w:cs="宋体"/>
          <w:sz w:val="24"/>
        </w:rPr>
      </w:r>
      <w:r/>
    </w:p>
    <w:p>
      <w:pPr>
        <w:pStyle w:val="1070"/>
        <w:ind w:firstLine="482"/>
        <w:spacing w:line="360" w:lineRule="auto"/>
        <w:rPr>
          <w:rFonts w:hint="eastAsia" w:ascii="宋体" w:hAnsi="宋体" w:cs="宋体"/>
          <w:sz w:val="24"/>
        </w:rPr>
      </w:pPr>
      <w:r>
        <w:rPr>
          <w:rFonts w:hint="eastAsia" w:ascii="宋体" w:hAnsi="宋体" w:cs="宋体"/>
          <w:sz w:val="24"/>
        </w:rPr>
        <w:t xml:space="preserve">④乙方承诺：服务期内，中标产品在江苏省药品（医用耗材）阳光采购平台挂网价出现价格调整的，甲方有权终止采购合同。</w:t>
      </w:r>
      <w:r/>
    </w:p>
    <w:p>
      <w:pPr>
        <w:pStyle w:val="1070"/>
        <w:ind w:firstLine="482"/>
        <w:spacing w:line="360" w:lineRule="auto"/>
        <w:rPr>
          <w:rFonts w:hint="eastAsia" w:ascii="宋体" w:hAnsi="宋体" w:cs="宋体"/>
          <w:sz w:val="24"/>
        </w:rPr>
      </w:pPr>
      <w:r>
        <w:rPr>
          <w:rFonts w:hint="eastAsia" w:ascii="宋体" w:hAnsi="宋体" w:cs="宋体"/>
          <w:sz w:val="24"/>
        </w:rPr>
        <w:t xml:space="preserve">2.所供的食品必须符合《中华人民共和国食品安全法》、《中华人民共和国食品质量法》、《食品安全国家标准管理办法》、《特殊医学用途配方食品通则》、《特殊医学用途配方食品企业良好生产规范》以及相关国家标准和技术规范的规定要求。所供食品必须符合国家行业生产及经营标准，均能提供相应批次的合格检验证明。</w:t>
      </w:r>
      <w:r/>
    </w:p>
    <w:p>
      <w:pPr>
        <w:pStyle w:val="1070"/>
        <w:ind w:firstLine="482"/>
        <w:spacing w:line="360" w:lineRule="auto"/>
        <w:rPr>
          <w:rFonts w:hint="eastAsia" w:ascii="宋体" w:hAnsi="宋体" w:cs="宋体"/>
          <w:sz w:val="24"/>
        </w:rPr>
      </w:pPr>
      <w:r>
        <w:rPr>
          <w:rFonts w:hint="eastAsia" w:ascii="宋体" w:hAnsi="宋体" w:cs="宋体"/>
          <w:sz w:val="24"/>
        </w:rPr>
        <w:t xml:space="preserve">3.乙方必须负责中标食品的运输、质量检测等工作，所产生的费用由乙方负责。 </w:t>
      </w:r>
      <w:r/>
    </w:p>
    <w:p>
      <w:pPr>
        <w:pStyle w:val="1070"/>
        <w:ind w:firstLine="482"/>
        <w:spacing w:line="360" w:lineRule="auto"/>
        <w:rPr>
          <w:rFonts w:hint="eastAsia" w:ascii="宋体" w:hAnsi="宋体" w:cs="宋体"/>
          <w:sz w:val="24"/>
        </w:rPr>
      </w:pPr>
      <w:r>
        <w:rPr>
          <w:rFonts w:hint="eastAsia" w:ascii="宋体" w:hAnsi="宋体" w:cs="宋体"/>
          <w:sz w:val="24"/>
        </w:rPr>
        <w:t xml:space="preserve">4.乙方不得变更供应食品，应严格按采购、响应文件要求（含货物名称、规格和重量等）配送，否则，甲方有权拒收。如因市场流通问题确实需要变更的，应书面向甲方申请。</w:t>
      </w:r>
      <w:r/>
    </w:p>
    <w:p>
      <w:pPr>
        <w:pStyle w:val="1070"/>
        <w:ind w:firstLine="482"/>
        <w:spacing w:line="360" w:lineRule="auto"/>
        <w:rPr>
          <w:rFonts w:hint="eastAsia" w:ascii="宋体" w:hAnsi="宋体" w:cs="宋体"/>
          <w:sz w:val="24"/>
        </w:rPr>
      </w:pPr>
      <w:r>
        <w:rPr>
          <w:rFonts w:hint="eastAsia" w:ascii="宋体" w:hAnsi="宋体" w:cs="宋体"/>
          <w:sz w:val="24"/>
        </w:rPr>
        <w:t xml:space="preserve">5.甲方按合同对商品进行认真验收，对不符合规格要求的商品，乙方必须无条件退货；乙方未能履行采购文件和合同所定事项，或供应不合格的、假冒伪劣、以次充好的商品，甲方退货后将记录在案，并对乙方予以处罚， 除要承担因此产生的一切损失和费用外，情节严重的可取消其中标资格。 </w:t>
      </w:r>
      <w:r/>
    </w:p>
    <w:p>
      <w:pPr>
        <w:pStyle w:val="1070"/>
        <w:ind w:firstLine="482"/>
        <w:spacing w:line="360" w:lineRule="auto"/>
        <w:rPr>
          <w:rFonts w:hint="eastAsia" w:ascii="宋体" w:hAnsi="宋体" w:cs="宋体"/>
          <w:sz w:val="24"/>
        </w:rPr>
      </w:pPr>
      <w:r>
        <w:rPr>
          <w:rFonts w:hint="eastAsia" w:ascii="宋体" w:hAnsi="宋体" w:cs="宋体"/>
          <w:sz w:val="24"/>
        </w:rPr>
        <w:t xml:space="preserve">6.如因所供食品质量或品质问题造成人员身体不适、身体伤害及经济损失的，须由乙方立即派专人到现场妥善处理，做好安抚工作和善后事宜，并承担所产生的一切费用、赔偿由此发生的一切经济损失。 </w:t>
      </w:r>
      <w:r/>
    </w:p>
    <w:p>
      <w:pPr>
        <w:pStyle w:val="1070"/>
        <w:ind w:firstLine="482"/>
        <w:spacing w:line="360" w:lineRule="auto"/>
        <w:rPr>
          <w:rFonts w:hint="eastAsia" w:ascii="宋体" w:hAnsi="宋体" w:cs="宋体"/>
          <w:sz w:val="24"/>
        </w:rPr>
      </w:pPr>
      <w:r>
        <w:rPr>
          <w:rFonts w:hint="eastAsia" w:ascii="宋体" w:hAnsi="宋体" w:cs="宋体"/>
          <w:sz w:val="24"/>
        </w:rPr>
        <w:t xml:space="preserve">7.如在合同执行阶段，乙方提供的货物质量及服务与响应文件所承诺的不符，甲方有权终止合同，并承担相关责任。 </w:t>
      </w:r>
      <w:r/>
    </w:p>
    <w:p>
      <w:pPr>
        <w:pStyle w:val="1070"/>
        <w:ind w:firstLine="482"/>
        <w:spacing w:line="360" w:lineRule="auto"/>
        <w:rPr>
          <w:rFonts w:hint="eastAsia" w:ascii="宋体" w:hAnsi="宋体" w:cs="宋体"/>
          <w:sz w:val="24"/>
        </w:rPr>
      </w:pPr>
      <w:r>
        <w:rPr>
          <w:rFonts w:hint="eastAsia" w:ascii="宋体" w:hAnsi="宋体" w:cs="宋体"/>
          <w:sz w:val="24"/>
        </w:rPr>
        <w:t xml:space="preserve">8.非甲方的人为原因而出现食品质量，由乙方负责包换或包退，并承担因此而产生的一切费用。此类情况如出现 3 次的，甲方将单方面无条件解除合同，乙方将承担由此给甲方带来的损失。</w:t>
      </w:r>
      <w:r/>
    </w:p>
    <w:p>
      <w:pPr>
        <w:pStyle w:val="1070"/>
        <w:ind w:firstLine="482"/>
        <w:spacing w:line="360" w:lineRule="auto"/>
        <w:rPr>
          <w:rFonts w:hint="eastAsia" w:ascii="宋体" w:hAnsi="宋体" w:cs="宋体"/>
          <w:sz w:val="24"/>
        </w:rPr>
      </w:pPr>
      <w:r>
        <w:rPr>
          <w:rFonts w:hint="eastAsia" w:ascii="宋体" w:hAnsi="宋体" w:cs="宋体"/>
          <w:sz w:val="24"/>
        </w:rPr>
        <w:t xml:space="preserve">9.保质期：≥12个月，质保期到期前六个月供货商免费更换新品。</w:t>
      </w:r>
      <w:r/>
    </w:p>
    <w:p>
      <w:pPr>
        <w:pStyle w:val="1070"/>
        <w:ind w:firstLine="484"/>
        <w:spacing w:line="360" w:lineRule="auto"/>
        <w:rPr>
          <w:rFonts w:ascii="宋体" w:hAnsi="宋体" w:cs="宋体"/>
          <w:b/>
          <w:sz w:val="24"/>
        </w:rPr>
      </w:pPr>
      <w:r>
        <w:rPr>
          <w:rFonts w:hint="eastAsia" w:ascii="宋体" w:hAnsi="宋体" w:cs="宋体"/>
          <w:b/>
          <w:sz w:val="24"/>
        </w:rPr>
        <w:t xml:space="preserve">六、包装要求</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1.包装和运输（如适用，须满足《关于印发&lt;商品包装政府采购需求标准（试行）&gt;、&lt;快递包装政府采购需求标准（试行）&gt;的通知》（财办库﹝2020﹞123号））</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2.提供的全部特医食品应按国家标准保护措施进行包装，以防止食品在转运中损坏或变质，确保食品安全无损运抵指定地点。</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3.每一个包装箱内应附一份详细装箱单和质量检验报告书或合格证书，如非整件则须附有加盖乙方公章的质量检验报告书或合格证书。</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七、交货和验收</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1.交货要求：</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1.1 </w:t>
      </w:r>
      <w:r>
        <w:rPr>
          <w:rFonts w:hint="eastAsia" w:ascii="宋体" w:hAnsi="宋体" w:cs="等线"/>
          <w:sz w:val="24"/>
        </w:rPr>
        <w:t xml:space="preserve">甲方</w:t>
      </w:r>
      <w:r>
        <w:rPr>
          <w:rFonts w:hint="eastAsia" w:ascii="宋体" w:hAnsi="宋体" w:cs="等线"/>
          <w:sz w:val="24"/>
          <w:lang w:val="zh-CN"/>
        </w:rPr>
        <w:t xml:space="preserve">根据实际需求情况不定期通知</w:t>
      </w:r>
      <w:r>
        <w:rPr>
          <w:rFonts w:hint="eastAsia" w:ascii="宋体" w:hAnsi="宋体" w:cs="等线"/>
          <w:sz w:val="24"/>
        </w:rPr>
        <w:t xml:space="preserve">乙方</w:t>
      </w:r>
      <w:r>
        <w:rPr>
          <w:rFonts w:hint="eastAsia" w:ascii="宋体" w:hAnsi="宋体" w:cs="等线"/>
          <w:sz w:val="24"/>
          <w:lang w:val="zh-CN"/>
        </w:rPr>
        <w:t xml:space="preserve">，</w:t>
      </w:r>
      <w:r>
        <w:rPr>
          <w:rFonts w:hint="eastAsia" w:ascii="宋体" w:hAnsi="宋体" w:cs="等线"/>
          <w:sz w:val="24"/>
        </w:rPr>
        <w:t xml:space="preserve">接到甲方通知后 72小时内按甲方要求的数量送货到甲方指定地点；紧急情况在甲方发出缺货通知后，24 小时内提供所需的货物。在出现突发公共卫生事件或其他紧急情况时，乙方应积极配合医院完成紧急配送服务。</w:t>
      </w:r>
      <w:r>
        <w:rPr>
          <w:rFonts w:ascii="宋体" w:hAnsi="宋体" w:cs="宋体"/>
          <w:sz w:val="24"/>
        </w:rPr>
      </w:r>
      <w:r/>
    </w:p>
    <w:p>
      <w:pPr>
        <w:pStyle w:val="1110"/>
        <w:ind w:firstLine="482"/>
        <w:spacing w:line="360" w:lineRule="auto"/>
        <w:rPr>
          <w:rFonts w:hAnsi="宋体" w:cs="宋体"/>
          <w:bCs/>
          <w:sz w:val="24"/>
          <w:szCs w:val="24"/>
        </w:rPr>
      </w:pPr>
      <w:r>
        <w:rPr>
          <w:rFonts w:hAnsi="宋体" w:cs="宋体"/>
          <w:bCs/>
          <w:sz w:val="24"/>
          <w:szCs w:val="24"/>
        </w:rPr>
        <w:t xml:space="preserve">1.2 每次根据甲方的电话或其它方式通知订购品种、数量后，按时运送食品到指定地点，乙方随货提供注明货物名称、单位、数量、售价及总金额的商品送货清单，作为甲方入库验收凭证。</w:t>
      </w:r>
      <w:r/>
    </w:p>
    <w:p>
      <w:pPr>
        <w:pStyle w:val="1110"/>
        <w:ind w:firstLine="482"/>
        <w:spacing w:line="360" w:lineRule="auto"/>
        <w:rPr>
          <w:rFonts w:hAnsi="宋体" w:cs="宋体"/>
          <w:bCs/>
          <w:sz w:val="24"/>
          <w:szCs w:val="24"/>
        </w:rPr>
      </w:pPr>
      <w:r>
        <w:rPr>
          <w:rFonts w:hAnsi="宋体" w:cs="宋体"/>
          <w:bCs/>
          <w:sz w:val="24"/>
          <w:szCs w:val="24"/>
        </w:rPr>
        <w:t xml:space="preserve">1.3 要求提供能量和营养素成分说明表。</w:t>
      </w:r>
      <w:r/>
    </w:p>
    <w:p>
      <w:pPr>
        <w:pStyle w:val="1110"/>
        <w:ind w:firstLine="482"/>
        <w:spacing w:line="360" w:lineRule="auto"/>
        <w:rPr>
          <w:rFonts w:hAnsi="宋体" w:cs="宋体"/>
          <w:bCs/>
          <w:sz w:val="24"/>
          <w:szCs w:val="24"/>
        </w:rPr>
      </w:pPr>
      <w:r>
        <w:rPr>
          <w:rFonts w:hAnsi="宋体" w:cs="宋体"/>
          <w:bCs/>
          <w:sz w:val="24"/>
          <w:szCs w:val="24"/>
        </w:rPr>
        <w:t xml:space="preserve">1.4 交货地点：常州市中医医院。</w:t>
      </w:r>
      <w:r/>
    </w:p>
    <w:p>
      <w:pPr>
        <w:pStyle w:val="1110"/>
        <w:ind w:firstLine="482"/>
        <w:spacing w:line="360" w:lineRule="auto"/>
        <w:rPr>
          <w:rFonts w:hAnsi="宋体" w:cs="宋体"/>
          <w:bCs/>
          <w:sz w:val="24"/>
          <w:szCs w:val="24"/>
        </w:rPr>
      </w:pPr>
      <w:r>
        <w:rPr>
          <w:rFonts w:hAnsi="宋体" w:cs="宋体"/>
          <w:bCs/>
          <w:sz w:val="24"/>
          <w:szCs w:val="24"/>
        </w:rPr>
        <w:t xml:space="preserve">1.5销售方式：线上（含互联网医院）、线下。</w:t>
      </w:r>
      <w:r/>
    </w:p>
    <w:p>
      <w:pPr>
        <w:pStyle w:val="1110"/>
        <w:ind w:firstLine="482"/>
        <w:spacing w:line="360" w:lineRule="auto"/>
        <w:rPr>
          <w:rFonts w:hAnsi="宋体" w:cs="宋体"/>
          <w:bCs/>
          <w:sz w:val="24"/>
          <w:szCs w:val="24"/>
        </w:rPr>
      </w:pPr>
      <w:r>
        <w:rPr>
          <w:rFonts w:hAnsi="宋体" w:cs="宋体"/>
          <w:bCs/>
          <w:sz w:val="24"/>
          <w:szCs w:val="24"/>
        </w:rPr>
        <w:t xml:space="preserve">2.验收要求</w:t>
      </w:r>
      <w:r/>
    </w:p>
    <w:p>
      <w:pPr>
        <w:pStyle w:val="1110"/>
        <w:ind w:firstLine="482"/>
        <w:spacing w:line="360" w:lineRule="auto"/>
        <w:rPr>
          <w:rFonts w:hAnsi="宋体" w:cs="宋体"/>
          <w:bCs/>
          <w:sz w:val="24"/>
          <w:szCs w:val="24"/>
        </w:rPr>
      </w:pPr>
      <w:r>
        <w:rPr>
          <w:rFonts w:hAnsi="宋体" w:cs="宋体"/>
          <w:bCs/>
          <w:sz w:val="24"/>
          <w:szCs w:val="24"/>
        </w:rPr>
        <w:t xml:space="preserve">2.1 甲方按照《中华人民共和国食品安全法》、《中华人民共和国食品质量法》、《食品安全国家标准管理办法》、《特殊医学用途配方食品通则》、《特殊医学用途配方食品企业良好生产规范》及甲方相关部门的质量标准和有关要求对货物进行验收。</w:t>
      </w:r>
      <w:r/>
    </w:p>
    <w:p>
      <w:pPr>
        <w:pStyle w:val="1110"/>
        <w:ind w:firstLine="482"/>
        <w:spacing w:line="360" w:lineRule="auto"/>
        <w:rPr>
          <w:rFonts w:hAnsi="宋体" w:cs="宋体"/>
          <w:bCs/>
          <w:sz w:val="24"/>
          <w:szCs w:val="24"/>
        </w:rPr>
      </w:pPr>
      <w:r>
        <w:rPr>
          <w:rFonts w:hAnsi="宋体" w:cs="宋体"/>
          <w:bCs/>
          <w:sz w:val="24"/>
          <w:szCs w:val="24"/>
        </w:rPr>
        <w:t xml:space="preserve">2.2 双方对质量有争议，如需将货物送至交货地所在具有资质的质量检测机构检测的，所产生的费用由乙方负责。</w:t>
      </w:r>
      <w:r/>
    </w:p>
    <w:p>
      <w:pPr>
        <w:pStyle w:val="1110"/>
        <w:ind w:firstLine="482"/>
        <w:spacing w:line="360" w:lineRule="auto"/>
        <w:rPr>
          <w:rFonts w:hAnsi="宋体" w:cs="宋体"/>
          <w:bCs/>
          <w:sz w:val="24"/>
          <w:szCs w:val="24"/>
        </w:rPr>
      </w:pPr>
      <w:r>
        <w:rPr>
          <w:rFonts w:hAnsi="宋体" w:cs="宋体"/>
          <w:bCs/>
          <w:sz w:val="24"/>
          <w:szCs w:val="24"/>
        </w:rPr>
        <w:t xml:space="preserve">2.3 合同期内，甲方将对货物质量进行不定期的抽查(食品安全事故调套、接到投诉调查而送检不受此次数限制)，对抽查发现货物质量(含包装)不合格的，责令乙方对该批次产品作出更换、退货。</w:t>
      </w:r>
      <w:r/>
    </w:p>
    <w:p>
      <w:pPr>
        <w:pStyle w:val="1070"/>
        <w:ind w:firstLine="484"/>
        <w:spacing w:line="360" w:lineRule="auto"/>
        <w:rPr>
          <w:rFonts w:ascii="宋体" w:hAnsi="宋体" w:cs="宋体"/>
          <w:b/>
          <w:sz w:val="24"/>
        </w:rPr>
      </w:pPr>
      <w:r>
        <w:rPr>
          <w:rFonts w:hint="eastAsia" w:ascii="宋体" w:hAnsi="宋体" w:cs="宋体"/>
          <w:b/>
          <w:sz w:val="24"/>
        </w:rPr>
        <w:t xml:space="preserve">八、合同款结算及支付</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1.本合同项下所有款项均以人民币支付。</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2.本合同项下的采购资金由甲方自行支付，乙方向甲方开具发票。</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3.结算原则：固定单价，按实结算。</w:t>
      </w:r>
      <w:r>
        <w:rPr>
          <w:rFonts w:ascii="宋体" w:hAnsi="宋体" w:cs="宋体"/>
          <w:sz w:val="24"/>
        </w:rPr>
      </w:r>
      <w:r/>
    </w:p>
    <w:p>
      <w:pPr>
        <w:pStyle w:val="1070"/>
        <w:contextualSpacing/>
        <w:ind w:firstLine="480"/>
        <w:spacing w:line="360" w:lineRule="auto"/>
        <w:tabs>
          <w:tab w:val="left" w:pos="567" w:leader="none"/>
          <w:tab w:val="left" w:pos="1134" w:leader="none"/>
        </w:tabs>
        <w:rPr>
          <w:rFonts w:ascii="宋体" w:hAnsi="宋体" w:cs="等线"/>
          <w:b/>
          <w:bCs/>
          <w:sz w:val="24"/>
        </w:rPr>
      </w:pPr>
      <w:r>
        <w:rPr>
          <w:rFonts w:hint="eastAsia" w:ascii="宋体" w:hAnsi="宋体" w:cs="宋体"/>
          <w:sz w:val="24"/>
        </w:rPr>
        <w:t xml:space="preserve">4.付款方式：</w:t>
      </w:r>
      <w:r>
        <w:rPr>
          <w:rFonts w:hint="eastAsia" w:ascii="宋体" w:hAnsi="宋体" w:cs="等线"/>
          <w:b/>
          <w:bCs/>
          <w:sz w:val="24"/>
        </w:rPr>
        <w:t xml:space="preserve">按季度结算，结算价=每季度实际供货数量×中标单价。 </w:t>
      </w:r>
      <w:r>
        <w:rPr>
          <w:rFonts w:ascii="宋体" w:hAnsi="宋体" w:cs="等线"/>
          <w:b/>
          <w:bCs/>
          <w:sz w:val="24"/>
        </w:rPr>
      </w:r>
      <w:r/>
    </w:p>
    <w:p>
      <w:pPr>
        <w:pStyle w:val="1070"/>
        <w:contextualSpacing/>
        <w:ind w:firstLine="482"/>
        <w:spacing w:line="360" w:lineRule="auto"/>
        <w:tabs>
          <w:tab w:val="left" w:pos="567" w:leader="none"/>
          <w:tab w:val="left" w:pos="1134" w:leader="none"/>
        </w:tabs>
        <w:rPr>
          <w:rFonts w:ascii="宋体" w:hAnsi="宋体" w:cs="宋体"/>
          <w:b/>
          <w:sz w:val="24"/>
        </w:rPr>
      </w:pPr>
      <w:r>
        <w:rPr>
          <w:rFonts w:hint="eastAsia" w:ascii="宋体" w:hAnsi="宋体" w:cs="等线"/>
          <w:b/>
          <w:bCs/>
          <w:sz w:val="24"/>
        </w:rPr>
        <w:t xml:space="preserve">乙方应向</w:t>
      </w:r>
      <w:r>
        <w:rPr>
          <w:rFonts w:hint="eastAsia" w:ascii="宋体" w:hAnsi="宋体" w:cs="宋体"/>
          <w:b/>
          <w:sz w:val="24"/>
        </w:rPr>
        <w:t xml:space="preserve">甲方</w:t>
      </w:r>
      <w:r>
        <w:rPr>
          <w:rFonts w:hint="eastAsia" w:ascii="宋体" w:hAnsi="宋体" w:cs="等线"/>
          <w:b/>
          <w:bCs/>
          <w:sz w:val="24"/>
        </w:rPr>
        <w:t xml:space="preserve">提供正规发票，</w:t>
      </w:r>
      <w:r>
        <w:rPr>
          <w:rFonts w:hint="eastAsia" w:ascii="宋体" w:hAnsi="宋体" w:cs="宋体"/>
          <w:b/>
          <w:sz w:val="24"/>
        </w:rPr>
        <w:t xml:space="preserve">甲方</w:t>
      </w:r>
      <w:r>
        <w:rPr>
          <w:rFonts w:hint="eastAsia" w:ascii="宋体" w:hAnsi="宋体" w:cs="等线"/>
          <w:b/>
          <w:bCs/>
          <w:sz w:val="24"/>
        </w:rPr>
        <w:t xml:space="preserve">确认无误后支付上季度的应结货款。</w:t>
      </w:r>
      <w:r>
        <w:rPr>
          <w:rFonts w:ascii="宋体" w:hAnsi="宋体" w:cs="宋体"/>
          <w:b/>
          <w:sz w:val="24"/>
        </w:rPr>
      </w:r>
      <w:r/>
    </w:p>
    <w:p>
      <w:pPr>
        <w:pStyle w:val="1070"/>
        <w:ind w:firstLine="484"/>
        <w:spacing w:line="360" w:lineRule="auto"/>
        <w:rPr>
          <w:rFonts w:ascii="宋体" w:hAnsi="宋体" w:cs="宋体"/>
          <w:b/>
          <w:sz w:val="24"/>
        </w:rPr>
      </w:pPr>
      <w:r>
        <w:rPr>
          <w:rFonts w:hint="eastAsia" w:ascii="宋体" w:hAnsi="宋体" w:cs="宋体"/>
          <w:b/>
          <w:sz w:val="24"/>
        </w:rPr>
        <w:t xml:space="preserve">九、伴随服务／售后服务</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1.乙方应按照国家有关法律法规规章和“三包”规定以及合同所附的“服务承诺”提供服务。</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2.若采购文件中不包含有关伴随服务或售后服务的承诺，双方作如下约定：</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2.1 乙方须按甲方采购特医食品订单供应特医食品,甲方在接收特医食品时，应对特医食品进行验货确认，对不符合合同要求的，甲方有权拒绝接收。乙方应及时更换被拒绝的特医食品，不得影响临床使用。</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2.2 如果甲方确认需要进行特医食品质量检验，应及时以书面形式把质量检验的具体要求通知乙方。乙方收到要求特医食品质量检验书面通知时，应当同意进行特医食品质量检验。检验在乙方交货的最终目的地进行。</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2.3 乙方应保证甲方在使用特医食品时免受第三方提出的有关专利权、商标权或保护期等方面的权利的要求。如果甲方或第三方对特医食品质量存在争议时，应即时封存该特医食品并由甲方或第三方在封条上当场签字确认后，由乙方送甲方所在地相关质检部门检验。如送检特医食品存在质量问题，由乙方承担该产品导致的所有责任和检验费用，甲方有权据此单方终止合同；如送检特医食品无质量问题，合同继续履行，检验费用由乙方承担。</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2.4 为保证特医食品质量，避免造成特医食品的浪费，甲方对已购进的特医食品应妥善储存和管理。如因乙方特医食品质量造成的一切损失由乙方承担全部责任。</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2.5 加强对特医食品有效期的管理。甲方应定期清查特医食品库房及各个仓库特医食品的有效期，掌握特医食品使用情况，及时对医院特医食品进行退、换货。甲方应合理采购，合理使用特医食品。</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3.本项目免费质保期为</w:t>
      </w:r>
      <w:r>
        <w:rPr>
          <w:rFonts w:hint="eastAsia" w:ascii="宋体" w:hAnsi="宋体" w:cs="宋体"/>
          <w:sz w:val="24"/>
          <w:u w:val="single"/>
        </w:rPr>
        <w:t xml:space="preserve">      </w:t>
      </w:r>
      <w:r>
        <w:rPr>
          <w:rFonts w:hint="eastAsia" w:ascii="宋体" w:hAnsi="宋体" w:cs="宋体"/>
          <w:sz w:val="24"/>
        </w:rPr>
        <w:t xml:space="preserve">月，质保期到期前六个月乙方免费更换新品。</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十、违约责任</w:t>
      </w:r>
      <w:r>
        <w:rPr>
          <w:rFonts w:ascii="宋体" w:hAnsi="宋体" w:cs="宋体"/>
          <w:b/>
          <w:sz w:val="24"/>
        </w:rPr>
      </w:r>
      <w:r/>
    </w:p>
    <w:p>
      <w:pPr>
        <w:pStyle w:val="1070"/>
        <w:ind w:firstLine="480"/>
        <w:spacing w:line="360" w:lineRule="auto"/>
        <w:rPr>
          <w:rFonts w:ascii="宋体" w:hAnsi="宋体" w:cs="宋体"/>
          <w:sz w:val="24"/>
        </w:rPr>
      </w:pPr>
      <w:r>
        <w:rPr>
          <w:rFonts w:hint="eastAsia" w:ascii="宋体" w:hAnsi="宋体" w:cs="宋体"/>
          <w:sz w:val="24"/>
        </w:rPr>
        <w:t xml:space="preserve">1.如乙方不能按时交付货物的，每逾期1天，乙方向甲方偿付合同总额5‰的违约金；乙方逾期交付货物超过10天（含10天），甲方有权解除合同，同时有权要求乙方按照合同总价5%的标准支付违约金，解除合同的通知自发出之日生效。</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2.乙方未按本合同的规定和“服务承诺”提供伴随服务/售后服务的，甲方有权提前解除本合同，同时乙方应按合同总价款的5 %向甲方承担违约责任。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3.乙方在承担上述一项或多项违约责任后，仍应继续履行合同规定的义务（甲方解除合同的除外）。甲方未能及时追究乙方的任何一项违约责任并不表明甲方放弃追究乙方该项或其他违约责任。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4.乙方属虚假承诺，或经权威部门监测提供的货物不能满足采购文件要求，或是由于乙方的过错造成合同无法继续履行的，还应向甲方支付不少于合同总价30%违约金，若该违约金不足以弥补甲方损失，则应当赔偿甲方所有损失。</w:t>
      </w:r>
      <w:r>
        <w:rPr>
          <w:rFonts w:ascii="宋体" w:hAnsi="宋体" w:cs="宋体"/>
          <w:sz w:val="24"/>
        </w:rPr>
      </w:r>
      <w:r/>
    </w:p>
    <w:p>
      <w:pPr>
        <w:pStyle w:val="1070"/>
        <w:ind w:firstLine="480"/>
        <w:spacing w:line="360" w:lineRule="auto"/>
        <w:rPr>
          <w:rFonts w:ascii="宋体" w:hAnsi="宋体" w:cs="宋体"/>
          <w:sz w:val="24"/>
        </w:rPr>
      </w:pPr>
      <w:r>
        <w:rPr>
          <w:rFonts w:hint="eastAsia" w:ascii="宋体" w:hAnsi="宋体" w:cs="宋体"/>
          <w:sz w:val="24"/>
        </w:rPr>
        <w:t xml:space="preserve">5.其他未尽事宜，以《民法典》等有关法律法规规定为准，无相关规定的，双方协商解决。</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十一、合同的变更和终止</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1.本合同一经签订，甲乙双方不得擅自变更、中止或终止合同。</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2.除发生法律规定的不能预见、不能避免并不能克服的客观情况外，甲乙双方不得放弃或拒绝履行合同。</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十二、合同的转让</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乙方不得擅自部分或全部转让其应履行的合同义务。</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十三、不可抗力</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甲、乙方中任何一方，因不可抗力不能按时或完全履行合同的，应及时通知对方，并在5日内提供相应证明。未履行完合同部分是否继续履行、如何履行等问题，可由双方初步协商，并向主管部门报告。确定为不可抗力原因造成的损失，免予承担责任。</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第十四条 质量问题或缺陷的索赔</w:t>
      </w:r>
      <w:r>
        <w:rPr>
          <w:rFonts w:ascii="宋体" w:hAnsi="宋体" w:cs="宋体"/>
          <w:b/>
          <w:sz w:val="24"/>
        </w:rPr>
      </w:r>
      <w:r/>
    </w:p>
    <w:p>
      <w:pPr>
        <w:pStyle w:val="1070"/>
        <w:ind w:firstLine="480"/>
        <w:spacing w:line="360" w:lineRule="auto"/>
        <w:rPr>
          <w:rFonts w:ascii="宋体" w:hAnsi="宋体" w:cs="等线"/>
          <w:sz w:val="24"/>
        </w:rPr>
      </w:pPr>
      <w:r>
        <w:rPr>
          <w:rFonts w:hint="eastAsia" w:ascii="宋体" w:hAnsi="宋体" w:cs="等线"/>
          <w:sz w:val="24"/>
        </w:rPr>
        <w:t xml:space="preserve">如因所供食品质量或品质问题造成人员身体不适、身体伤害及经济损失的，须由乙方立即派专人到现场妥善处理，做好安抚工作和善后事宜，并承担所产生的一切费用、赔偿由此发生的一切经济损失。</w:t>
      </w:r>
      <w:r>
        <w:rPr>
          <w:rFonts w:ascii="宋体" w:hAnsi="宋体" w:cs="等线"/>
          <w:sz w:val="24"/>
        </w:rPr>
      </w:r>
      <w:r/>
    </w:p>
    <w:p>
      <w:pPr>
        <w:pStyle w:val="1070"/>
        <w:ind w:firstLine="480"/>
        <w:spacing w:line="360" w:lineRule="auto"/>
        <w:rPr>
          <w:rFonts w:ascii="宋体" w:hAnsi="宋体" w:cs="等线"/>
          <w:sz w:val="24"/>
        </w:rPr>
      </w:pPr>
      <w:r>
        <w:rPr>
          <w:rFonts w:hint="eastAsia" w:ascii="宋体" w:hAnsi="宋体" w:cs="等线"/>
          <w:sz w:val="24"/>
        </w:rPr>
        <w:t xml:space="preserve">非乙方的人为原因而出现食品质量，由乙方负责包换或包退，并承担因此而产生的一切费用。此类情况如出现 3 次的，甲方将单方面无条件解除合同，乙方将承担由此给甲方带来的损失。</w:t>
      </w:r>
      <w:r>
        <w:rPr>
          <w:rFonts w:ascii="宋体" w:hAnsi="宋体" w:cs="等线"/>
          <w:sz w:val="24"/>
        </w:rPr>
      </w:r>
      <w:r/>
    </w:p>
    <w:p>
      <w:pPr>
        <w:pStyle w:val="1070"/>
        <w:spacing w:line="360" w:lineRule="auto"/>
        <w:rPr>
          <w:rFonts w:ascii="宋体" w:hAnsi="宋体" w:cs="宋体"/>
          <w:sz w:val="24"/>
        </w:rPr>
      </w:pPr>
      <w:r>
        <w:rPr>
          <w:rFonts w:hint="eastAsia" w:ascii="宋体" w:hAnsi="宋体" w:cs="宋体"/>
          <w:sz w:val="24"/>
        </w:rPr>
        <w:t xml:space="preserve">    甲方因主张上述权利而支出的所有合理费用，包括但不限于律师费、诉讼费、鉴定费、差旅费、保函费等，均由乙方承担。</w:t>
      </w:r>
      <w:r>
        <w:rPr>
          <w:rFonts w:ascii="宋体" w:hAnsi="宋体" w:cs="宋体"/>
          <w:sz w:val="24"/>
        </w:rPr>
      </w:r>
      <w:r/>
    </w:p>
    <w:p>
      <w:pPr>
        <w:pStyle w:val="1070"/>
        <w:ind w:firstLine="484"/>
        <w:spacing w:line="360" w:lineRule="auto"/>
        <w:rPr>
          <w:rFonts w:hint="eastAsia" w:ascii="宋体" w:hAnsi="宋体" w:cs="宋体"/>
          <w:b/>
          <w:sz w:val="24"/>
        </w:rPr>
      </w:pPr>
      <w:r>
        <w:rPr>
          <w:rFonts w:hint="eastAsia" w:ascii="宋体" w:hAnsi="宋体" w:cs="宋体"/>
          <w:b/>
          <w:sz w:val="24"/>
        </w:rPr>
        <w:t xml:space="preserve">十五、纠纷的处理</w:t>
      </w:r>
      <w:r/>
    </w:p>
    <w:p>
      <w:pPr>
        <w:pStyle w:val="1070"/>
        <w:ind w:firstLine="482"/>
        <w:spacing w:line="360" w:lineRule="auto"/>
        <w:rPr>
          <w:rFonts w:ascii="宋体" w:hAnsi="宋体" w:cs="宋体"/>
          <w:sz w:val="24"/>
        </w:rPr>
      </w:pPr>
      <w:r>
        <w:rPr>
          <w:rFonts w:hint="eastAsia" w:ascii="宋体" w:hAnsi="宋体" w:cs="宋体"/>
          <w:sz w:val="24"/>
        </w:rPr>
        <w:t xml:space="preserve">任何因履行本合同或与本合同相关的争议，双方应友好协商解决。协商不成时，任何一方可依法向甲方所在地法院提出诉讼。</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十六、诚实信用</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乙方应诚实信用，严格按照采购文件要求和投标承诺履行合同，不向甲方进行商业贿赂或者提供不正当利益。</w:t>
      </w:r>
      <w:r>
        <w:rPr>
          <w:rFonts w:ascii="宋体" w:hAnsi="宋体" w:cs="宋体"/>
          <w:sz w:val="24"/>
        </w:rPr>
      </w:r>
      <w:r/>
    </w:p>
    <w:p>
      <w:pPr>
        <w:pStyle w:val="1070"/>
        <w:ind w:firstLine="484"/>
        <w:spacing w:line="360" w:lineRule="auto"/>
        <w:rPr>
          <w:rFonts w:ascii="宋体" w:hAnsi="宋体" w:cs="宋体"/>
          <w:b/>
          <w:sz w:val="24"/>
        </w:rPr>
      </w:pPr>
      <w:r>
        <w:rPr>
          <w:rFonts w:hint="eastAsia" w:ascii="宋体" w:hAnsi="宋体" w:cs="宋体"/>
          <w:b/>
          <w:sz w:val="24"/>
        </w:rPr>
        <w:t xml:space="preserve">十七、合同期间及终止／解除</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若有下述任何情况发生时，甲方有权不经通知乙方即自行终止／解除本合同，并由乙方向甲方支付违约金人民币</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元，若甲方因此遭受的损失超过违约金的，乙方应负责补足：</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乙方已将其于本合同项下之权利全部或部分转移给第三人。</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乙方未完成本合同规定之义务。</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乙方涉讼或陷于任何财务困境，如破产、无力偿债、清算或重整、受到行政处分、财产扣押强制执行、</w:t>
      </w:r>
      <w:bookmarkStart w:id="821" w:name="OLE_LINK9"/>
      <w:r>
        <w:rPr>
          <w:rFonts w:hint="eastAsia" w:ascii="宋体" w:hAnsi="宋体" w:cs="宋体"/>
          <w:sz w:val="24"/>
        </w:rPr>
        <w:t xml:space="preserve">乙方因自身资质出现相关行政审批、审核未通过</w:t>
      </w:r>
      <w:bookmarkEnd w:id="821"/>
      <w:r>
        <w:rPr>
          <w:rFonts w:hint="eastAsia" w:ascii="宋体" w:hAnsi="宋体" w:cs="宋体"/>
          <w:sz w:val="24"/>
        </w:rPr>
        <w:t xml:space="preserve">等。</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乙方其他任何已经或可能影响甲方运营或使甲方受损的行为。</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2、如本合同因上述情况终止／解除，则自本合同终止／解除日起：</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甲方有权否决全部或部分乙方已收到或接受而未履行之订单。</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甲方有权占有、继续使用全部已收到或验收之产品。</w:t>
      </w:r>
      <w:r>
        <w:rPr>
          <w:rFonts w:ascii="宋体" w:hAnsi="宋体" w:cs="宋体"/>
          <w:sz w:val="24"/>
        </w:rPr>
      </w:r>
      <w:r/>
    </w:p>
    <w:p>
      <w:pPr>
        <w:pStyle w:val="1070"/>
        <w:ind w:firstLine="482"/>
        <w:spacing w:line="360" w:lineRule="auto"/>
        <w:rPr>
          <w:rFonts w:ascii="宋体" w:hAnsi="宋体" w:cs="宋体"/>
          <w:sz w:val="24"/>
        </w:rPr>
      </w:pPr>
      <w:r>
        <w:rPr>
          <w:rFonts w:hint="eastAsia" w:ascii="宋体" w:hAnsi="宋体" w:cs="宋体"/>
          <w:sz w:val="24"/>
        </w:rPr>
        <w:t xml:space="preserve">甲方对乙方因本合同终止／解除而产生之损害不负赔偿责任。</w:t>
      </w:r>
      <w:r>
        <w:rPr>
          <w:rFonts w:ascii="宋体" w:hAnsi="宋体" w:cs="宋体"/>
          <w:sz w:val="24"/>
        </w:rPr>
      </w:r>
      <w:r/>
    </w:p>
    <w:p>
      <w:pPr>
        <w:pStyle w:val="1070"/>
        <w:ind w:firstLine="482"/>
        <w:spacing w:line="360" w:lineRule="auto"/>
        <w:rPr>
          <w:rFonts w:hint="eastAsia" w:ascii="宋体" w:hAnsi="宋体" w:cs="宋体"/>
          <w:sz w:val="24"/>
        </w:rPr>
      </w:pPr>
      <w:r>
        <w:rPr>
          <w:rFonts w:hint="eastAsia" w:ascii="宋体" w:hAnsi="宋体" w:cs="宋体"/>
          <w:sz w:val="24"/>
        </w:rPr>
        <w:t xml:space="preserve">3、因甲</w:t>
      </w:r>
      <w:bookmarkStart w:id="822" w:name="OLE_LINK13"/>
      <w:r>
        <w:rPr>
          <w:rFonts w:hint="eastAsia" w:ascii="宋体" w:hAnsi="宋体" w:cs="宋体"/>
          <w:sz w:val="24"/>
        </w:rPr>
        <w:t xml:space="preserve">方涉讼或陷于任何财务困境，如破产、无力偿债、清算或重整、受到行政处分、财产扣押、或强制执行之</w:t>
      </w:r>
      <w:bookmarkEnd w:id="822"/>
      <w:r>
        <w:rPr>
          <w:rFonts w:hint="eastAsia" w:ascii="宋体" w:hAnsi="宋体" w:cs="宋体"/>
          <w:sz w:val="24"/>
        </w:rPr>
        <w:t xml:space="preserve">限制等，甲方明显无能力支付本合同第一条规定之合同价款时，乙方有权提前三十（30）天以书面形式通知甲方终止／解除本合同。</w:t>
      </w:r>
      <w:r/>
    </w:p>
    <w:p>
      <w:pPr>
        <w:pStyle w:val="1070"/>
        <w:ind w:firstLine="484"/>
        <w:spacing w:line="360" w:lineRule="auto"/>
        <w:rPr>
          <w:rFonts w:ascii="宋体" w:hAnsi="宋体" w:cs="宋体"/>
          <w:b/>
          <w:sz w:val="24"/>
        </w:rPr>
      </w:pPr>
      <w:r>
        <w:rPr>
          <w:rFonts w:hint="eastAsia" w:ascii="宋体" w:hAnsi="宋体" w:cs="宋体"/>
          <w:b/>
          <w:sz w:val="24"/>
        </w:rPr>
        <w:t xml:space="preserve">十八、合同生效及其他</w:t>
      </w:r>
      <w:r>
        <w:rPr>
          <w:rFonts w:ascii="宋体" w:hAnsi="宋体" w:cs="宋体"/>
          <w:b/>
          <w:sz w:val="24"/>
        </w:rPr>
      </w:r>
      <w:r/>
    </w:p>
    <w:p>
      <w:pPr>
        <w:pStyle w:val="1070"/>
        <w:ind w:firstLine="482"/>
        <w:spacing w:line="360" w:lineRule="auto"/>
        <w:rPr>
          <w:rFonts w:ascii="宋体" w:hAnsi="宋体" w:cs="宋体"/>
          <w:sz w:val="24"/>
        </w:rPr>
      </w:pPr>
      <w:r>
        <w:rPr>
          <w:rFonts w:hint="eastAsia" w:ascii="宋体" w:hAnsi="宋体" w:cs="宋体"/>
          <w:sz w:val="24"/>
        </w:rPr>
        <w:t xml:space="preserve">本合同自甲乙双方签字、盖章之日起生效。本合同一式五份，甲方执四份，乙方执一份，具有同等法律效力。未尽事宜，甲乙双方可以另行签订补充协议。</w:t>
      </w:r>
      <w:r>
        <w:rPr>
          <w:rFonts w:ascii="宋体" w:hAnsi="宋体" w:cs="宋体"/>
          <w:sz w:val="24"/>
        </w:rPr>
      </w:r>
      <w:r/>
    </w:p>
    <w:p>
      <w:pPr>
        <w:pStyle w:val="1070"/>
        <w:ind w:firstLine="482"/>
        <w:spacing w:line="360" w:lineRule="auto"/>
        <w:rPr>
          <w:rFonts w:hint="eastAsia" w:ascii="宋体" w:hAnsi="宋体" w:cs="宋体"/>
          <w:sz w:val="24"/>
        </w:rPr>
      </w:pPr>
      <w:r>
        <w:rPr>
          <w:rFonts w:hint="eastAsia" w:ascii="宋体" w:hAnsi="宋体" w:cs="宋体"/>
          <w:sz w:val="24"/>
        </w:rPr>
      </w:r>
      <w:r/>
    </w:p>
    <w:p>
      <w:pPr>
        <w:pStyle w:val="1070"/>
        <w:spacing w:line="360" w:lineRule="auto"/>
        <w:rPr>
          <w:rFonts w:ascii="宋体" w:hAnsi="宋体"/>
          <w:sz w:val="24"/>
        </w:rPr>
      </w:pPr>
      <w:r>
        <w:rPr>
          <w:rFonts w:hint="eastAsia" w:ascii="宋体" w:hAnsi="宋体" w:cs="宋体"/>
          <w:b/>
          <w:sz w:val="24"/>
          <w:lang w:bidi="ar"/>
        </w:rPr>
        <w:t xml:space="preserve">甲方（签章）：常州市中医医院</w:t>
      </w:r>
      <w:r>
        <w:rPr>
          <w:rFonts w:ascii="宋体" w:hAnsi="宋体"/>
          <w:sz w:val="24"/>
          <w:lang w:bidi="ar"/>
        </w:rPr>
        <w:t xml:space="preserve">          </w:t>
        <w:tab/>
        <w:tab/>
        <w:t xml:space="preserve">   </w:t>
      </w:r>
      <w:r>
        <w:rPr>
          <w:rFonts w:hint="eastAsia" w:ascii="宋体" w:hAnsi="宋体" w:cs="宋体"/>
          <w:b/>
          <w:sz w:val="24"/>
          <w:lang w:bidi="ar"/>
        </w:rPr>
        <w:t xml:space="preserve">乙方（签章）：</w:t>
      </w:r>
      <w:r>
        <w:rPr>
          <w:rFonts w:ascii="宋体" w:hAnsi="宋体"/>
          <w:sz w:val="24"/>
        </w:rPr>
        <w:t xml:space="preserve"> </w:t>
      </w:r>
      <w:r/>
    </w:p>
    <w:p>
      <w:pPr>
        <w:pStyle w:val="1070"/>
        <w:spacing w:line="360" w:lineRule="auto"/>
        <w:rPr>
          <w:rFonts w:ascii="宋体" w:hAnsi="宋体" w:cs="宋体"/>
          <w:b/>
          <w:sz w:val="24"/>
          <w:lang w:bidi="ar"/>
        </w:rPr>
      </w:pPr>
      <w:r>
        <w:rPr>
          <w:rFonts w:ascii="宋体" w:hAnsi="宋体" w:cs="宋体"/>
          <w:b/>
          <w:sz w:val="24"/>
          <w:lang w:bidi="ar"/>
        </w:rPr>
      </w:r>
      <w:r/>
    </w:p>
    <w:p>
      <w:pPr>
        <w:pStyle w:val="1070"/>
        <w:spacing w:line="360" w:lineRule="auto"/>
        <w:rPr>
          <w:rFonts w:ascii="宋体" w:hAnsi="宋体" w:cs="宋体"/>
          <w:b/>
          <w:sz w:val="24"/>
          <w:lang w:bidi="ar"/>
        </w:rPr>
      </w:pPr>
      <w:r>
        <w:rPr>
          <w:rFonts w:ascii="宋体" w:hAnsi="宋体" w:cs="宋体"/>
          <w:b/>
          <w:sz w:val="24"/>
          <w:lang w:bidi="ar"/>
        </w:rPr>
      </w:r>
      <w:r/>
    </w:p>
    <w:p>
      <w:pPr>
        <w:pStyle w:val="1070"/>
        <w:spacing w:line="360" w:lineRule="auto"/>
        <w:rPr>
          <w:rFonts w:ascii="宋体" w:hAnsi="宋体" w:cs="宋体"/>
          <w:b/>
          <w:sz w:val="24"/>
          <w:lang w:bidi="ar"/>
        </w:rPr>
      </w:pPr>
      <w:r>
        <w:rPr>
          <w:rFonts w:ascii="宋体" w:hAnsi="宋体" w:cs="宋体"/>
          <w:b/>
          <w:sz w:val="24"/>
          <w:lang w:bidi="ar"/>
        </w:rPr>
      </w:r>
      <w:r/>
    </w:p>
    <w:p>
      <w:pPr>
        <w:pStyle w:val="1070"/>
        <w:spacing w:line="360" w:lineRule="auto"/>
        <w:rPr>
          <w:rFonts w:ascii="宋体" w:hAnsi="宋体"/>
          <w:b/>
          <w:sz w:val="24"/>
        </w:rPr>
      </w:pPr>
      <w:r>
        <w:rPr>
          <w:rFonts w:hint="eastAsia" w:ascii="宋体" w:hAnsi="宋体" w:cs="宋体"/>
          <w:b/>
          <w:sz w:val="24"/>
          <w:lang w:bidi="ar"/>
        </w:rPr>
        <w:t xml:space="preserve">甲方法定（授权）代表：</w:t>
      </w:r>
      <w:r>
        <w:rPr>
          <w:rFonts w:ascii="宋体" w:hAnsi="宋体"/>
          <w:b/>
          <w:sz w:val="24"/>
          <w:lang w:bidi="ar"/>
        </w:rPr>
        <w:t xml:space="preserve">                    </w:t>
        <w:tab/>
      </w:r>
      <w:r>
        <w:rPr>
          <w:rFonts w:hint="eastAsia" w:ascii="宋体" w:hAnsi="宋体" w:cs="宋体"/>
          <w:b/>
          <w:sz w:val="24"/>
          <w:lang w:bidi="ar"/>
        </w:rPr>
        <w:t xml:space="preserve">乙方法定（授权）代表：</w:t>
      </w:r>
      <w:r>
        <w:rPr>
          <w:rFonts w:ascii="宋体" w:hAnsi="宋体"/>
          <w:b/>
          <w:sz w:val="24"/>
        </w:rPr>
      </w:r>
      <w:r/>
    </w:p>
    <w:p>
      <w:pPr>
        <w:pStyle w:val="1070"/>
        <w:spacing w:line="360" w:lineRule="auto"/>
        <w:tabs>
          <w:tab w:val="left" w:pos="5460" w:leader="none"/>
        </w:tabs>
        <w:rPr>
          <w:rFonts w:ascii="宋体" w:hAnsi="宋体" w:cs="宋体"/>
          <w:b/>
          <w:sz w:val="24"/>
          <w:lang w:bidi="ar"/>
        </w:rPr>
      </w:pPr>
      <w:r>
        <w:rPr>
          <w:rFonts w:ascii="宋体" w:hAnsi="宋体"/>
          <w:sz w:val="24"/>
          <w:lang w:bidi="ar"/>
        </w:rPr>
        <w:tab/>
      </w:r>
      <w:r>
        <w:rPr>
          <w:rFonts w:hint="eastAsia" w:ascii="宋体" w:hAnsi="宋体" w:cs="宋体"/>
          <w:b/>
          <w:sz w:val="24"/>
          <w:lang w:bidi="ar"/>
        </w:rPr>
        <w:t xml:space="preserve">电话：</w:t>
      </w:r>
      <w:r>
        <w:rPr>
          <w:rFonts w:ascii="宋体" w:hAnsi="宋体" w:cs="宋体"/>
          <w:b/>
          <w:sz w:val="24"/>
          <w:lang w:bidi="ar"/>
        </w:rPr>
      </w:r>
      <w:r/>
    </w:p>
    <w:p>
      <w:pPr>
        <w:pStyle w:val="1070"/>
        <w:spacing w:line="360" w:lineRule="auto"/>
        <w:tabs>
          <w:tab w:val="left" w:pos="6420" w:leader="none"/>
        </w:tabs>
        <w:rPr>
          <w:rFonts w:ascii="宋体" w:hAnsi="宋体"/>
          <w:b/>
          <w:sz w:val="24"/>
        </w:rPr>
      </w:pPr>
      <w:r>
        <w:rPr>
          <w:rFonts w:ascii="宋体" w:hAnsi="宋体"/>
          <w:b/>
          <w:sz w:val="24"/>
        </w:rPr>
      </w:r>
      <w:r/>
    </w:p>
    <w:p>
      <w:pPr>
        <w:pStyle w:val="1070"/>
        <w:spacing w:line="360" w:lineRule="auto"/>
        <w:tabs>
          <w:tab w:val="left" w:pos="6420" w:leader="none"/>
        </w:tabs>
        <w:rPr>
          <w:rFonts w:hint="eastAsia" w:ascii="宋体" w:hAnsi="宋体"/>
          <w:b/>
          <w:sz w:val="24"/>
        </w:rPr>
      </w:pPr>
      <w:r>
        <w:rPr>
          <w:rFonts w:hint="eastAsia" w:ascii="宋体" w:hAnsi="宋体"/>
          <w:b/>
          <w:sz w:val="24"/>
        </w:rPr>
      </w:r>
      <w:r/>
    </w:p>
    <w:p>
      <w:pPr>
        <w:pStyle w:val="1070"/>
        <w:spacing w:line="360" w:lineRule="auto"/>
        <w:rPr>
          <w:rFonts w:ascii="宋体" w:hAnsi="宋体"/>
          <w:b/>
          <w:sz w:val="24"/>
          <w:lang w:bidi="ar"/>
        </w:rPr>
      </w:pPr>
      <w:r>
        <w:rPr>
          <w:rFonts w:hint="eastAsia" w:ascii="宋体" w:hAnsi="宋体" w:cs="宋体"/>
          <w:b/>
          <w:sz w:val="24"/>
          <w:lang w:bidi="ar"/>
        </w:rPr>
        <w:t xml:space="preserve">业务部门代表：</w:t>
      </w:r>
      <w:r>
        <w:rPr>
          <w:rFonts w:ascii="宋体" w:hAnsi="宋体"/>
          <w:b/>
          <w:sz w:val="24"/>
          <w:lang w:bidi="ar"/>
        </w:rPr>
        <w:t xml:space="preserve">                </w:t>
        <w:tab/>
        <w:tab/>
        <w:tab/>
        <w:tab/>
        <w:t xml:space="preserve">   </w:t>
      </w:r>
      <w:r/>
    </w:p>
    <w:p>
      <w:pPr>
        <w:pStyle w:val="1070"/>
        <w:spacing w:line="360" w:lineRule="auto"/>
        <w:rPr>
          <w:szCs w:val="21"/>
          <w:lang w:bidi="ar"/>
        </w:rPr>
      </w:pPr>
      <w:r>
        <w:rPr>
          <w:szCs w:val="21"/>
          <w:lang w:bidi="ar"/>
        </w:rPr>
      </w:r>
      <w:r/>
    </w:p>
    <w:p>
      <w:pPr>
        <w:pStyle w:val="1070"/>
        <w:spacing w:line="360" w:lineRule="auto"/>
        <w:rPr>
          <w:szCs w:val="21"/>
          <w:lang w:bidi="ar"/>
        </w:rPr>
      </w:pPr>
      <w:r>
        <w:rPr>
          <w:szCs w:val="21"/>
          <w:lang w:bidi="ar"/>
        </w:rPr>
      </w:r>
      <w:r/>
    </w:p>
    <w:p>
      <w:pPr>
        <w:pStyle w:val="1070"/>
        <w:spacing w:line="360" w:lineRule="auto"/>
        <w:rPr>
          <w:sz w:val="24"/>
          <w:lang w:bidi="ar"/>
        </w:rPr>
      </w:pPr>
      <w:r>
        <w:rPr>
          <w:sz w:val="24"/>
          <w:lang w:bidi="ar"/>
        </w:rPr>
      </w:r>
      <w:r/>
    </w:p>
    <w:p>
      <w:pPr>
        <w:pStyle w:val="1070"/>
        <w:spacing w:line="360" w:lineRule="auto"/>
        <w:rPr>
          <w:rFonts w:hint="eastAsia"/>
          <w:b/>
          <w:sz w:val="24"/>
          <w:lang w:bidi="ar"/>
        </w:rPr>
      </w:pPr>
      <w:r>
        <w:rPr>
          <w:rFonts w:hint="eastAsia"/>
          <w:b/>
          <w:sz w:val="24"/>
          <w:lang w:bidi="ar"/>
        </w:rPr>
        <w:t xml:space="preserve">日期</w:t>
      </w:r>
      <w:r>
        <w:rPr>
          <w:b/>
          <w:sz w:val="24"/>
          <w:lang w:bidi="ar"/>
        </w:rPr>
        <w:t xml:space="preserve">：</w:t>
      </w:r>
      <w:r>
        <w:rPr>
          <w:rFonts w:hint="eastAsia"/>
          <w:b/>
          <w:sz w:val="24"/>
          <w:lang w:bidi="ar"/>
        </w:rPr>
        <w:t xml:space="preserve">                                        日期</w:t>
      </w:r>
      <w:r>
        <w:rPr>
          <w:b/>
          <w:sz w:val="24"/>
          <w:lang w:bidi="ar"/>
        </w:rPr>
        <w:t xml:space="preserve">：</w:t>
      </w:r>
      <w:r>
        <w:rPr>
          <w:rFonts w:hint="eastAsia"/>
          <w:b/>
          <w:sz w:val="24"/>
          <w:lang w:bidi="ar"/>
        </w:rPr>
      </w:r>
      <w:r/>
    </w:p>
    <w:p>
      <w:pPr>
        <w:pStyle w:val="1070"/>
        <w:jc w:val="left"/>
        <w:widowControl/>
        <w:rPr>
          <w:b/>
          <w:sz w:val="36"/>
          <w:szCs w:val="36"/>
        </w:rPr>
      </w:pPr>
      <w:r>
        <w:rPr>
          <w:b/>
          <w:sz w:val="36"/>
          <w:szCs w:val="36"/>
        </w:rPr>
      </w:r>
      <w:r/>
    </w:p>
    <w:p>
      <w:pPr>
        <w:pStyle w:val="1070"/>
        <w:jc w:val="center"/>
        <w:spacing w:line="360" w:lineRule="auto"/>
        <w:rPr>
          <w:rFonts w:ascii="宋体" w:hAnsi="宋体"/>
          <w:b/>
          <w:sz w:val="36"/>
          <w:szCs w:val="36"/>
        </w:rPr>
        <w:outlineLvl w:val="0"/>
      </w:pPr>
      <w:r/>
      <w:bookmarkStart w:id="823" w:name="_Toc99301426"/>
      <w:r>
        <w:rPr>
          <w:rFonts w:ascii="宋体" w:hAnsi="宋体"/>
          <w:b/>
          <w:sz w:val="36"/>
          <w:szCs w:val="36"/>
        </w:rPr>
        <w:t xml:space="preserve">第七章   投标文件格式</w:t>
      </w:r>
      <w:bookmarkEnd w:id="823"/>
      <w:r>
        <w:rPr>
          <w:rFonts w:ascii="宋体" w:hAnsi="宋体"/>
          <w:b/>
          <w:sz w:val="36"/>
          <w:szCs w:val="36"/>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0"/>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0"/>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0"/>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0"/>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jc w:val="left"/>
        <w:widowControl/>
        <w:rPr>
          <w:rFonts w:ascii="宋体" w:hAnsi="宋体"/>
          <w:sz w:val="24"/>
        </w:rPr>
      </w:pPr>
      <w:r>
        <w:rPr>
          <w:rFonts w:ascii="宋体" w:hAnsi="宋体"/>
          <w:sz w:val="24"/>
        </w:rPr>
        <w:br w:type="page" w:clear="all"/>
      </w:r>
      <w:r/>
    </w:p>
    <w:p>
      <w:pPr>
        <w:pStyle w:val="1070"/>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0"/>
        <w:rPr>
          <w:rFonts w:ascii="宋体" w:hAnsi="宋体"/>
          <w:b/>
          <w:spacing w:val="20"/>
          <w:szCs w:val="21"/>
        </w:rPr>
      </w:pPr>
      <w:r>
        <w:rPr>
          <w:rFonts w:ascii="宋体" w:hAnsi="宋体"/>
          <w:b/>
          <w:spacing w:val="20"/>
          <w:szCs w:val="21"/>
        </w:rPr>
      </w:r>
      <w:r/>
    </w:p>
    <w:p>
      <w:pPr>
        <w:pStyle w:val="1070"/>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0"/>
        <w:jc w:val="center"/>
        <w:rPr>
          <w:rFonts w:ascii="宋体" w:hAnsi="宋体"/>
          <w:szCs w:val="21"/>
        </w:rPr>
      </w:pPr>
      <w:r>
        <w:rPr>
          <w:rFonts w:ascii="宋体" w:hAnsi="宋体"/>
          <w:szCs w:val="21"/>
        </w:rPr>
      </w:r>
      <w:r/>
    </w:p>
    <w:p>
      <w:pPr>
        <w:pStyle w:val="1070"/>
        <w:jc w:val="center"/>
        <w:rPr>
          <w:rFonts w:ascii="宋体" w:hAnsi="宋体"/>
          <w:b/>
          <w:spacing w:val="60"/>
          <w:sz w:val="84"/>
          <w:szCs w:val="84"/>
        </w:rPr>
      </w:pPr>
      <w:r>
        <w:rPr>
          <w:rFonts w:ascii="宋体" w:hAnsi="宋体"/>
          <w:b/>
          <w:spacing w:val="60"/>
          <w:sz w:val="84"/>
          <w:szCs w:val="84"/>
        </w:rPr>
        <w:t xml:space="preserve">投 标 文 件</w:t>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963"/>
        <w:rPr>
          <w:rFonts w:hint="eastAsia" w:ascii="宋体" w:hAnsi="宋体"/>
          <w:b/>
          <w:spacing w:val="60"/>
          <w:sz w:val="52"/>
          <w:szCs w:val="52"/>
        </w:rPr>
      </w:pPr>
      <w:r>
        <w:rPr>
          <w:rFonts w:hint="eastAsia" w:ascii="宋体" w:hAnsi="宋体"/>
          <w:b/>
          <w:spacing w:val="60"/>
          <w:sz w:val="52"/>
          <w:szCs w:val="5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542"/>
        <w:rPr>
          <w:rFonts w:ascii="宋体" w:hAnsi="宋体"/>
          <w:b/>
          <w:spacing w:val="20"/>
          <w:sz w:val="32"/>
          <w:szCs w:val="32"/>
        </w:rPr>
      </w:pPr>
      <w:r>
        <w:rPr>
          <w:rFonts w:ascii="宋体" w:hAnsi="宋体"/>
          <w:b/>
          <w:spacing w:val="20"/>
          <w:sz w:val="32"/>
          <w:szCs w:val="32"/>
        </w:rPr>
      </w:r>
      <w:r/>
    </w:p>
    <w:p>
      <w:pPr>
        <w:pStyle w:val="1070"/>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0"/>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0"/>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0"/>
        <w:jc w:val="center"/>
        <w:rPr>
          <w:rFonts w:ascii="宋体" w:hAnsi="宋体"/>
          <w:b/>
          <w:sz w:val="32"/>
          <w:szCs w:val="32"/>
        </w:rPr>
      </w:pPr>
      <w:r>
        <w:rPr>
          <w:rFonts w:ascii="宋体" w:hAnsi="宋体"/>
          <w:b/>
          <w:sz w:val="32"/>
          <w:szCs w:val="32"/>
        </w:rPr>
      </w:r>
      <w:r/>
    </w:p>
    <w:p>
      <w:pPr>
        <w:pStyle w:val="1070"/>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0"/>
        <w:rPr>
          <w:rFonts w:ascii="宋体" w:hAnsi="宋体"/>
          <w:b/>
        </w:rPr>
      </w:pPr>
      <w:r>
        <w:rPr>
          <w:rFonts w:ascii="宋体" w:hAnsi="宋体"/>
          <w:b/>
        </w:rPr>
      </w:r>
      <w:r/>
    </w:p>
    <w:p>
      <w:pPr>
        <w:pStyle w:val="1070"/>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3"/>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0"/>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0"/>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致：常州市城投建设工程招标有限公司</w:t>
      </w:r>
      <w:r>
        <w:rPr>
          <w:rFonts w:hAnsi="宋体"/>
        </w:rPr>
      </w:r>
      <w:r/>
    </w:p>
    <w:p>
      <w:pPr>
        <w:pStyle w:val="1085"/>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5"/>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5"/>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5"/>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5"/>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5"/>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5"/>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5"/>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5"/>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5"/>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5"/>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5"/>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5"/>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5"/>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5"/>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Ansi="宋体"/>
        </w:rPr>
      </w:r>
      <w:r/>
    </w:p>
    <w:p>
      <w:pPr>
        <w:pStyle w:val="1085"/>
        <w:ind w:firstLine="480"/>
        <w:spacing w:line="460" w:lineRule="exact"/>
        <w:rPr>
          <w:rFonts w:hAnsi="宋体"/>
        </w:rPr>
      </w:pPr>
      <w:r>
        <w:rPr>
          <w:rFonts w:hint="eastAsia" w:hAnsi="宋体"/>
        </w:rPr>
        <w:t xml:space="preserve">                                            投标人：（加盖公章）</w:t>
      </w:r>
      <w:r>
        <w:rPr>
          <w:rFonts w:hAnsi="宋体"/>
        </w:rPr>
      </w:r>
      <w:r/>
    </w:p>
    <w:p>
      <w:pPr>
        <w:pStyle w:val="1085"/>
        <w:ind w:firstLine="480"/>
        <w:spacing w:line="460" w:lineRule="exact"/>
        <w:rPr>
          <w:rFonts w:hAnsi="宋体"/>
        </w:rPr>
      </w:pPr>
      <w:r>
        <w:rPr>
          <w:rFonts w:hint="eastAsia" w:hAnsi="宋体"/>
        </w:rPr>
        <w:t xml:space="preserve">                                           法定代表人（或单位负责人）签字或盖章：</w:t>
      </w:r>
      <w:r>
        <w:rPr>
          <w:rFonts w:hAnsi="宋体"/>
        </w:rPr>
      </w:r>
      <w:r/>
    </w:p>
    <w:p>
      <w:pPr>
        <w:pStyle w:val="1085"/>
        <w:ind w:firstLine="4920"/>
        <w:spacing w:line="460" w:lineRule="exact"/>
        <w:rPr>
          <w:rFonts w:hint="eastAsia" w:hAnsi="宋体"/>
        </w:rPr>
      </w:pPr>
      <w:r>
        <w:rPr>
          <w:rFonts w:hint="eastAsia" w:hAnsi="宋体"/>
        </w:rPr>
        <w:t xml:space="preserve">日期：    年    月    日</w:t>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hint="eastAsia" w:ascii="宋体" w:hAnsi="宋体"/>
          <w:sz w:val="24"/>
        </w:rPr>
      </w:pPr>
      <w:r>
        <w:rPr>
          <w:rFonts w:hint="eastAsia" w:ascii="宋体" w:hAnsi="宋体"/>
          <w:sz w:val="24"/>
        </w:rPr>
      </w:r>
      <w:r/>
    </w:p>
    <w:p>
      <w:pPr>
        <w:pStyle w:val="1070"/>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0"/>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0"/>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0"/>
        <w:spacing w:line="360" w:lineRule="auto"/>
        <w:rPr>
          <w:rFonts w:ascii="宋体" w:hAnsi="宋体"/>
          <w:b/>
          <w:sz w:val="24"/>
          <w:szCs w:val="20"/>
        </w:rPr>
        <w:outlineLvl w:val="2"/>
      </w:pPr>
      <w:r>
        <w:rPr>
          <w:rFonts w:ascii="宋体" w:hAnsi="宋体"/>
          <w:b/>
          <w:sz w:val="24"/>
          <w:szCs w:val="20"/>
        </w:rPr>
        <w:t xml:space="preserve">2-1 </w:t>
      </w:r>
      <w:r>
        <w:rPr>
          <w:rFonts w:ascii="宋体" w:hAnsi="宋体"/>
          <w:b/>
          <w:sz w:val="24"/>
        </w:rPr>
        <w:t xml:space="preserve">其它落实政府采购政策的资格要求</w:t>
      </w:r>
      <w:r>
        <w:rPr>
          <w:rFonts w:ascii="宋体" w:hAnsi="宋体"/>
          <w:b/>
          <w:sz w:val="24"/>
          <w:szCs w:val="20"/>
        </w:rPr>
        <w:t xml:space="preserve">（如有）</w:t>
      </w:r>
      <w:r/>
    </w:p>
    <w:p>
      <w:pPr>
        <w:pStyle w:val="1070"/>
        <w:spacing w:line="360" w:lineRule="auto"/>
        <w:rPr>
          <w:rFonts w:ascii="宋体" w:hAnsi="宋体"/>
          <w:b/>
          <w:sz w:val="24"/>
          <w:szCs w:val="20"/>
        </w:rPr>
        <w:outlineLvl w:val="2"/>
      </w:pPr>
      <w:r>
        <w:rPr>
          <w:rFonts w:ascii="宋体" w:hAnsi="宋体"/>
          <w:b/>
          <w:sz w:val="24"/>
          <w:szCs w:val="20"/>
        </w:rPr>
      </w:r>
      <w:r/>
    </w:p>
    <w:p>
      <w:pPr>
        <w:pStyle w:val="1070"/>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0"/>
        <w:spacing w:line="360" w:lineRule="auto"/>
        <w:rPr>
          <w:rFonts w:hint="eastAsia" w:ascii="宋体" w:hAnsi="宋体"/>
          <w:b/>
          <w:sz w:val="24"/>
          <w:szCs w:val="20"/>
        </w:rPr>
        <w:outlineLvl w:val="2"/>
      </w:pPr>
      <w:r>
        <w:rPr>
          <w:rFonts w:ascii="宋体" w:hAnsi="宋体"/>
          <w:b/>
          <w:sz w:val="24"/>
          <w:szCs w:val="20"/>
        </w:rPr>
        <w:t xml:space="preserve">3-1</w:t>
      </w:r>
      <w:r>
        <w:rPr>
          <w:rFonts w:hint="eastAsia" w:ascii="宋体" w:hAnsi="宋体"/>
          <w:b/>
          <w:sz w:val="24"/>
          <w:szCs w:val="20"/>
        </w:rPr>
        <w:t xml:space="preserve"> </w:t>
      </w:r>
      <w:r>
        <w:rPr>
          <w:rFonts w:ascii="宋体" w:hAnsi="宋体"/>
          <w:b/>
          <w:sz w:val="24"/>
          <w:szCs w:val="20"/>
        </w:rPr>
        <w:t xml:space="preserve">其他特定资格要求</w:t>
      </w:r>
      <w:r>
        <w:rPr>
          <w:rFonts w:hint="eastAsia" w:ascii="宋体" w:hAnsi="宋体"/>
          <w:b/>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ind w:left="719" w:hanging="240"/>
        <w:spacing w:line="360" w:lineRule="auto"/>
        <w:rPr>
          <w:rFonts w:hint="eastAsia" w:ascii="宋体" w:hAnsi="宋体"/>
          <w:sz w:val="24"/>
          <w:szCs w:val="20"/>
        </w:rPr>
      </w:pPr>
      <w:r>
        <w:rPr>
          <w:rFonts w:hint="eastAsia" w:ascii="宋体" w:hAnsi="宋体"/>
          <w:sz w:val="24"/>
          <w:szCs w:val="20"/>
        </w:rPr>
      </w:r>
      <w:r/>
    </w:p>
    <w:p>
      <w:pPr>
        <w:pStyle w:val="1070"/>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24" w:name="_Toc150480794"/>
      <w:r/>
      <w:bookmarkStart w:id="825" w:name="_Toc195842921"/>
      <w:r/>
      <w:bookmarkStart w:id="826" w:name="_Ref467988698"/>
      <w:r/>
      <w:bookmarkStart w:id="827" w:name="_Toc142311058"/>
      <w:r/>
      <w:bookmarkStart w:id="828" w:name="_Toc150774761"/>
      <w:r/>
      <w:bookmarkStart w:id="829" w:name="_Toc226309800"/>
      <w:r/>
      <w:bookmarkStart w:id="830" w:name="_Toc480942349"/>
      <w:r/>
      <w:bookmarkStart w:id="831" w:name="_Toc127151556"/>
      <w:r/>
      <w:bookmarkStart w:id="832" w:name="_Toc520356217"/>
      <w:r/>
      <w:bookmarkStart w:id="833" w:name="_Toc226965746"/>
      <w:r/>
      <w:bookmarkStart w:id="834" w:name="_Toc226965829"/>
      <w:r/>
      <w:bookmarkStart w:id="835" w:name="_Toc226337252"/>
      <w:r>
        <w:rPr>
          <w:rFonts w:hint="eastAsia" w:ascii="宋体" w:hAnsi="宋体"/>
          <w:b/>
          <w:sz w:val="32"/>
          <w:szCs w:val="32"/>
        </w:rPr>
      </w:r>
      <w:r/>
    </w:p>
    <w:p>
      <w:pPr>
        <w:pStyle w:val="1070"/>
        <w:jc w:val="center"/>
        <w:widowControl/>
        <w:rPr>
          <w:rFonts w:hint="eastAsia" w:ascii="宋体" w:hAnsi="宋体"/>
          <w:b/>
          <w:sz w:val="32"/>
          <w:szCs w:val="32"/>
        </w:rPr>
      </w:pPr>
      <w:r>
        <w:rPr>
          <w:rFonts w:hint="eastAsia" w:ascii="宋体" w:hAnsi="宋体"/>
          <w:b/>
          <w:sz w:val="32"/>
          <w:szCs w:val="32"/>
        </w:rPr>
      </w:r>
      <w:r/>
    </w:p>
    <w:p>
      <w:pPr>
        <w:pStyle w:val="1070"/>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24"/>
      <w:r/>
      <w:bookmarkEnd w:id="825"/>
      <w:r/>
      <w:bookmarkEnd w:id="826"/>
      <w:r/>
      <w:bookmarkEnd w:id="827"/>
      <w:r/>
      <w:bookmarkEnd w:id="828"/>
      <w:r/>
      <w:bookmarkEnd w:id="829"/>
      <w:r/>
      <w:bookmarkEnd w:id="830"/>
      <w:r/>
      <w:bookmarkEnd w:id="831"/>
      <w:r/>
      <w:bookmarkEnd w:id="832"/>
      <w:r/>
      <w:bookmarkEnd w:id="833"/>
      <w:r/>
      <w:bookmarkEnd w:id="834"/>
      <w:r/>
      <w:bookmarkEnd w:id="835"/>
      <w:r>
        <w:rPr>
          <w:rFonts w:hint="eastAsia" w:ascii="宋体" w:hAnsi="宋体"/>
          <w:b/>
          <w:sz w:val="24"/>
        </w:rPr>
        <w:t xml:space="preserve">函</w:t>
      </w:r>
      <w:r>
        <w:rPr>
          <w:rFonts w:ascii="宋体" w:hAnsi="宋体"/>
          <w:b/>
          <w:sz w:val="24"/>
          <w:szCs w:val="20"/>
        </w:rPr>
        <w:t xml:space="preserve">（实质性格式）</w:t>
      </w:r>
      <w:r/>
    </w:p>
    <w:p>
      <w:pPr>
        <w:pStyle w:val="1070"/>
        <w:spacing w:line="360" w:lineRule="auto"/>
        <w:tabs>
          <w:tab w:val="left" w:pos="5580" w:leader="none"/>
        </w:tabs>
        <w:rPr>
          <w:rFonts w:ascii="宋体" w:hAnsi="宋体"/>
          <w:sz w:val="24"/>
        </w:rPr>
      </w:pPr>
      <w:r>
        <w:rPr>
          <w:rFonts w:ascii="宋体" w:hAnsi="宋体"/>
          <w:sz w:val="24"/>
        </w:rPr>
      </w:r>
      <w:r/>
    </w:p>
    <w:p>
      <w:pPr>
        <w:pStyle w:val="1070"/>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0"/>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0"/>
        <w:spacing w:line="360" w:lineRule="auto"/>
        <w:tabs>
          <w:tab w:val="left" w:pos="5580" w:leader="none"/>
        </w:tabs>
        <w:rPr>
          <w:rFonts w:ascii="宋体" w:hAnsi="宋体"/>
          <w:sz w:val="24"/>
          <w:szCs w:val="20"/>
        </w:rPr>
      </w:pPr>
      <w:r>
        <w:rPr>
          <w:rFonts w:ascii="宋体" w:hAnsi="宋体"/>
          <w:sz w:val="24"/>
          <w:szCs w:val="20"/>
        </w:rPr>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0"/>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0"/>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0"/>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0"/>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0"/>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0"/>
        <w:ind w:firstLine="480"/>
        <w:spacing w:line="360" w:lineRule="auto"/>
        <w:rPr>
          <w:rFonts w:ascii="宋体" w:hAnsi="宋体"/>
          <w:sz w:val="24"/>
        </w:rPr>
      </w:pPr>
      <w:r>
        <w:rPr>
          <w:rFonts w:ascii="宋体" w:hAnsi="宋体"/>
          <w:sz w:val="24"/>
        </w:rPr>
        <w:t xml:space="preserve">与本投标有关的一切正式往来信函请寄：</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0"/>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0"/>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0"/>
        <w:jc w:val="left"/>
        <w:widowControl/>
        <w:rPr>
          <w:rFonts w:hint="eastAsia" w:ascii="宋体" w:hAnsi="宋体"/>
          <w:b/>
          <w:sz w:val="24"/>
        </w:rPr>
      </w:pPr>
      <w:r/>
      <w:bookmarkStart w:id="836" w:name="_Hlt520356243"/>
      <w:r/>
      <w:bookmarkEnd w:id="836"/>
      <w:r/>
      <w:bookmarkStart w:id="837" w:name="_Hlt520355938"/>
      <w:r/>
      <w:bookmarkEnd w:id="837"/>
      <w:r>
        <w:rPr>
          <w:rFonts w:ascii="宋体" w:hAnsi="宋体"/>
          <w:sz w:val="24"/>
        </w:rPr>
        <w:br w:type="page" w:clear="all"/>
      </w:r>
      <w:r>
        <w:rPr>
          <w:rFonts w:hint="eastAsia" w:ascii="宋体" w:hAnsi="宋体"/>
          <w:b/>
          <w:sz w:val="24"/>
        </w:rPr>
      </w:r>
      <w:r/>
    </w:p>
    <w:p>
      <w:pPr>
        <w:pStyle w:val="1070"/>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0"/>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0"/>
        <w:spacing w:line="560" w:lineRule="exact"/>
        <w:rPr>
          <w:rFonts w:ascii="宋体" w:hAnsi="宋体"/>
          <w:sz w:val="24"/>
        </w:rPr>
      </w:pPr>
      <w:r>
        <w:rPr>
          <w:rFonts w:ascii="宋体" w:hAnsi="宋体"/>
          <w:sz w:val="24"/>
        </w:rPr>
      </w:r>
      <w:r/>
    </w:p>
    <w:p>
      <w:pPr>
        <w:pStyle w:val="1102"/>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p>
            <w:pPr>
              <w:pStyle w:val="1070"/>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0"/>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0"/>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0"/>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0"/>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0"/>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0"/>
        <w:jc w:val="left"/>
        <w:widowControl/>
        <w:rPr>
          <w:rFonts w:hint="eastAsia" w:ascii="宋体" w:hAnsi="宋体"/>
          <w:sz w:val="24"/>
        </w:rPr>
      </w:pPr>
      <w:r>
        <w:rPr>
          <w:rFonts w:hint="eastAsia" w:ascii="宋体" w:hAnsi="宋体"/>
          <w:sz w:val="24"/>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0"/>
        <w:jc w:val="center"/>
        <w:rPr>
          <w:rFonts w:hint="eastAsia" w:ascii="宋体" w:hAnsi="宋体"/>
          <w:b/>
          <w:sz w:val="32"/>
          <w:szCs w:val="32"/>
        </w:rPr>
      </w:pPr>
      <w:r>
        <w:rPr>
          <w:rFonts w:hint="eastAsia" w:ascii="宋体" w:hAnsi="宋体"/>
          <w:b/>
          <w:sz w:val="32"/>
          <w:szCs w:val="32"/>
        </w:rPr>
      </w:r>
      <w:r/>
    </w:p>
    <w:p>
      <w:pPr>
        <w:pStyle w:val="1323"/>
        <w:jc w:val="center"/>
        <w:spacing w:line="480" w:lineRule="auto"/>
        <w:rPr>
          <w:rFonts w:cs="宋体"/>
          <w:sz w:val="24"/>
        </w:rPr>
      </w:pPr>
      <w:r>
        <w:rPr>
          <w:rFonts w:hint="eastAsia"/>
          <w:b/>
          <w:sz w:val="36"/>
          <w:szCs w:val="36"/>
        </w:rPr>
        <w:t xml:space="preserve">授权委托书</w:t>
      </w:r>
      <w:r>
        <w:rPr>
          <w:rFonts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0"/>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0"/>
        <w:spacing w:line="400" w:lineRule="exact"/>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0"/>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49"/>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0"/>
        <w:spacing w:line="400" w:lineRule="exact"/>
        <w:rPr>
          <w:rFonts w:ascii="宋体" w:hAnsi="宋体" w:cs="宋体"/>
          <w:sz w:val="24"/>
        </w:rPr>
      </w:pPr>
      <w:r>
        <w:rPr>
          <w:rFonts w:ascii="宋体" w:hAnsi="宋体" w:cs="宋体"/>
          <w:sz w:val="24"/>
        </w:rPr>
      </w:r>
      <w:r/>
    </w:p>
    <w:p>
      <w:pPr>
        <w:pStyle w:val="1102"/>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p>
            <w:pPr>
              <w:pStyle w:val="1070"/>
              <w:jc w:val="left"/>
              <w:spacing w:line="360" w:lineRule="auto"/>
              <w:tabs>
                <w:tab w:val="left" w:pos="5580" w:leader="none"/>
              </w:tabs>
              <w:rPr>
                <w:rFonts w:ascii="宋体" w:hAnsi="宋体"/>
                <w:szCs w:val="21"/>
              </w:rPr>
            </w:pPr>
            <w:r>
              <w:rPr>
                <w:rFonts w:ascii="宋体" w:hAnsi="宋体"/>
                <w:szCs w:val="21"/>
              </w:rPr>
            </w:r>
            <w:r/>
          </w:p>
        </w:tc>
      </w:tr>
    </w:tbl>
    <w:p>
      <w:pPr>
        <w:pStyle w:val="1102"/>
        <w:ind w:right="-46"/>
        <w:spacing w:line="583" w:lineRule="auto"/>
        <w:rPr>
          <w:rFonts w:hint="eastAsia"/>
          <w:b/>
          <w:bCs/>
        </w:rPr>
      </w:pPr>
      <w:r>
        <w:rPr>
          <w:rFonts w:hint="eastAsia"/>
          <w:b/>
          <w:bCs/>
        </w:rPr>
        <w:t xml:space="preserve">投标人近三个月内任意一个月（自开标之日往前推）为其缴纳社保的记录</w:t>
      </w:r>
      <w:r/>
    </w:p>
    <w:p>
      <w:pPr>
        <w:pStyle w:val="1070"/>
        <w:spacing w:line="360" w:lineRule="auto"/>
        <w:rPr>
          <w:rFonts w:hint="eastAsia" w:ascii="宋体" w:hAnsi="宋体" w:cs="宋体"/>
          <w:szCs w:val="21"/>
        </w:rPr>
      </w:pPr>
      <w:r>
        <w:rPr>
          <w:rFonts w:hint="eastAsia"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0"/>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3"/>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0"/>
        <w:jc w:val="left"/>
        <w:widowControl/>
        <w:rPr>
          <w:rFonts w:hint="eastAsia" w:ascii="宋体" w:hAnsi="宋体"/>
          <w:sz w:val="24"/>
        </w:rPr>
      </w:pPr>
      <w:r>
        <w:rPr>
          <w:rFonts w:hint="eastAsia" w:ascii="宋体" w:hAnsi="宋体"/>
          <w:sz w:val="24"/>
        </w:rPr>
      </w:r>
      <w:r/>
    </w:p>
    <w:p>
      <w:pPr>
        <w:pStyle w:val="1070"/>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0"/>
        <w:ind w:firstLine="321"/>
        <w:jc w:val="center"/>
        <w:spacing w:line="560" w:lineRule="exact"/>
        <w:rPr>
          <w:rFonts w:hint="eastAsia" w:ascii="宋体" w:hAnsi="宋体"/>
          <w:b/>
          <w:sz w:val="32"/>
          <w:szCs w:val="32"/>
        </w:rPr>
      </w:pPr>
      <w:r>
        <w:rPr>
          <w:rFonts w:hint="eastAsia" w:ascii="宋体" w:hAnsi="宋体"/>
          <w:b/>
          <w:sz w:val="32"/>
          <w:szCs w:val="32"/>
        </w:rPr>
      </w:r>
      <w:r/>
    </w:p>
    <w:p>
      <w:pPr>
        <w:pStyle w:val="1070"/>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0"/>
        <w:ind w:firstLine="640"/>
        <w:rPr>
          <w:rFonts w:ascii="宋体" w:hAnsi="宋体"/>
        </w:rPr>
      </w:pPr>
      <w:r>
        <w:rPr>
          <w:rFonts w:ascii="宋体" w:hAnsi="宋体"/>
        </w:rPr>
      </w:r>
      <w:r/>
    </w:p>
    <w:p>
      <w:pPr>
        <w:pStyle w:val="1070"/>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0"/>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18"/>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38" w:name="_Hlt520274393"/>
      <w:r/>
      <w:bookmarkEnd w:id="838"/>
      <w:r/>
      <w:bookmarkStart w:id="839" w:name="_Hlt520350918"/>
      <w:r/>
      <w:bookmarkEnd w:id="839"/>
      <w:r/>
      <w:bookmarkStart w:id="840" w:name="_Hlt520343000"/>
      <w:r/>
      <w:bookmarkEnd w:id="840"/>
      <w:r/>
      <w:bookmarkStart w:id="841" w:name="_Hlt520274065"/>
      <w:r/>
      <w:bookmarkEnd w:id="841"/>
      <w:r/>
      <w:bookmarkStart w:id="842" w:name="_Hlt520355504"/>
      <w:r/>
      <w:bookmarkEnd w:id="842"/>
      <w:r/>
      <w:bookmarkStart w:id="843" w:name="_Hlt520274121"/>
      <w:r/>
      <w:bookmarkEnd w:id="843"/>
      <w:r/>
      <w:bookmarkStart w:id="844" w:name="_Hlt520271212"/>
      <w:r/>
      <w:bookmarkEnd w:id="844"/>
      <w:r/>
      <w:bookmarkStart w:id="845" w:name="_Hlt520274407"/>
      <w:r/>
      <w:bookmarkEnd w:id="845"/>
      <w:r/>
      <w:bookmarkStart w:id="846" w:name="_Hlt520273711"/>
      <w:r/>
      <w:bookmarkEnd w:id="846"/>
      <w:r/>
      <w:bookmarkStart w:id="847" w:name="_Hlt520343392"/>
      <w:r/>
      <w:bookmarkEnd w:id="847"/>
      <w:r/>
      <w:bookmarkStart w:id="848" w:name="_Toc127151557"/>
      <w:r/>
      <w:bookmarkStart w:id="849" w:name="_Toc195842922"/>
      <w:r/>
      <w:bookmarkStart w:id="850" w:name="_Toc226965747"/>
      <w:r/>
      <w:bookmarkStart w:id="851" w:name="_Toc480942350"/>
      <w:r/>
      <w:bookmarkStart w:id="852" w:name="_Toc150480795"/>
      <w:r/>
      <w:bookmarkStart w:id="853" w:name="_Toc264969247"/>
      <w:r/>
      <w:bookmarkStart w:id="854" w:name="_Toc142311059"/>
      <w:r/>
      <w:bookmarkStart w:id="855" w:name="_Toc265228395"/>
      <w:r/>
      <w:bookmarkStart w:id="856" w:name="_Ref467988705"/>
      <w:r/>
      <w:bookmarkStart w:id="857" w:name="_Toc226309801"/>
      <w:r/>
      <w:bookmarkStart w:id="858" w:name="_Toc305158899"/>
      <w:r/>
      <w:bookmarkStart w:id="859" w:name="_Toc150774762"/>
      <w:r/>
      <w:bookmarkStart w:id="860" w:name="_Toc226337253"/>
      <w:r/>
      <w:bookmarkStart w:id="861" w:name="_Toc226965830"/>
      <w:r/>
      <w:bookmarkStart w:id="862" w:name="_Toc305158825"/>
      <w:r/>
      <w:bookmarkStart w:id="863" w:name="_Toc520356218"/>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8"/>
      <w:r/>
      <w:bookmarkEnd w:id="849"/>
      <w:r/>
      <w:bookmarkEnd w:id="850"/>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b/>
          <w:sz w:val="36"/>
          <w:szCs w:val="36"/>
        </w:rPr>
      </w:pPr>
      <w:r/>
      <w:bookmarkStart w:id="864" w:name="_Toc226337254"/>
      <w:r/>
      <w:bookmarkStart w:id="865" w:name="_Toc226965748"/>
      <w:r/>
      <w:bookmarkStart w:id="866" w:name="_Toc265228396"/>
      <w:r/>
      <w:bookmarkStart w:id="867" w:name="_Toc164608672"/>
      <w:r/>
      <w:bookmarkStart w:id="868" w:name="_Toc305158900"/>
      <w:r/>
      <w:bookmarkStart w:id="869" w:name="_Toc226309802"/>
      <w:r/>
      <w:bookmarkStart w:id="870" w:name="_Toc226965831"/>
      <w:r/>
      <w:bookmarkStart w:id="871" w:name="_Toc305158826"/>
      <w:r/>
      <w:bookmarkStart w:id="872" w:name="_Toc164608827"/>
      <w:r/>
      <w:bookmarkStart w:id="873" w:name="_Toc264969248"/>
      <w:r/>
      <w:bookmarkStart w:id="874" w:name="_Toc195842923"/>
      <w:r>
        <w:rPr>
          <w:rFonts w:hint="eastAsia" w:ascii="宋体" w:hAnsi="宋体"/>
          <w:b/>
          <w:sz w:val="36"/>
          <w:szCs w:val="36"/>
        </w:rPr>
        <w:t xml:space="preserve">开标一览表</w:t>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sz w:val="36"/>
          <w:szCs w:val="36"/>
        </w:rPr>
      </w:r>
      <w:r/>
    </w:p>
    <w:p>
      <w:pPr>
        <w:pStyle w:val="1070"/>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0"/>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0"/>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0"/>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0"/>
              <w:jc w:val="center"/>
              <w:tabs>
                <w:tab w:val="left" w:pos="5580" w:leader="none"/>
              </w:tabs>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元/毫升</w:t>
            </w:r>
            <w:r/>
          </w:p>
        </w:tc>
        <w:tc>
          <w:tcPr>
            <w:tcW w:w="1182" w:type="pct"/>
            <w:vAlign w:val="center"/>
            <w:textDirection w:val="lrTb"/>
            <w:noWrap w:val="false"/>
          </w:tcPr>
          <w:p>
            <w:pPr>
              <w:pStyle w:val="1070"/>
              <w:jc w:val="center"/>
              <w:tabs>
                <w:tab w:val="left" w:pos="5580" w:leader="none"/>
              </w:tabs>
              <w:rPr>
                <w:rFonts w:hint="eastAsia" w:ascii="宋体" w:hAnsi="宋体"/>
                <w:sz w:val="24"/>
              </w:rPr>
            </w:pP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rPr>
              <w:t xml:space="preserve">元/毫升</w:t>
            </w:r>
            <w:r/>
          </w:p>
        </w:tc>
      </w:tr>
    </w:tbl>
    <w:p>
      <w:pPr>
        <w:pStyle w:val="1070"/>
        <w:jc w:val="left"/>
        <w:rPr>
          <w:rFonts w:ascii="宋体" w:hAnsi="宋体"/>
          <w:sz w:val="24"/>
        </w:rPr>
      </w:pPr>
      <w:r>
        <w:rPr>
          <w:rFonts w:ascii="宋体" w:hAnsi="宋体"/>
          <w:sz w:val="24"/>
        </w:rPr>
      </w:r>
      <w:r/>
    </w:p>
    <w:p>
      <w:pPr>
        <w:pStyle w:val="1070"/>
        <w:spacing w:before="25" w:after="25" w:line="360" w:lineRule="auto"/>
        <w:rPr>
          <w:rFonts w:ascii="宋体" w:hAnsi="宋体"/>
          <w:sz w:val="24"/>
        </w:rPr>
      </w:pPr>
      <w:r>
        <w:rPr>
          <w:rFonts w:ascii="宋体" w:hAnsi="宋体"/>
          <w:sz w:val="24"/>
        </w:rPr>
      </w:r>
      <w:r/>
    </w:p>
    <w:p>
      <w:pPr>
        <w:pStyle w:val="1070"/>
        <w:spacing w:before="25" w:after="25" w:line="360" w:lineRule="auto"/>
        <w:rPr>
          <w:rFonts w:hint="eastAsia" w:ascii="宋体" w:hAnsi="宋体"/>
          <w:sz w:val="24"/>
          <w:lang w:val="zh-CN"/>
        </w:rPr>
      </w:pPr>
      <w:r>
        <w:rPr>
          <w:rFonts w:hint="eastAsia" w:ascii="宋体" w:hAnsi="宋体"/>
          <w:sz w:val="24"/>
          <w:lang w:val="zh-CN"/>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bookmarkStart w:id="875" w:name="_Toc226965832"/>
      <w:r/>
      <w:bookmarkStart w:id="876" w:name="_Toc305158901"/>
      <w:r/>
      <w:bookmarkStart w:id="877" w:name="_Toc127151558"/>
      <w:r/>
      <w:bookmarkStart w:id="878" w:name="_Toc150480796"/>
      <w:r/>
      <w:bookmarkStart w:id="879" w:name="_Toc265228397"/>
      <w:r/>
      <w:bookmarkStart w:id="880" w:name="_Toc226337255"/>
      <w:r/>
      <w:bookmarkStart w:id="881" w:name="_Toc226965749"/>
      <w:r/>
      <w:bookmarkStart w:id="882" w:name="_Toc150774763"/>
      <w:r/>
      <w:bookmarkStart w:id="883" w:name="_Toc305158827"/>
      <w:r/>
      <w:bookmarkStart w:id="884" w:name="_Toc195842924"/>
      <w:r/>
      <w:bookmarkStart w:id="885" w:name="_Toc264969249"/>
      <w:r/>
      <w:bookmarkStart w:id="886" w:name="_Toc142311060"/>
      <w:r/>
      <w:bookmarkStart w:id="887" w:name="_Toc226309803"/>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rFonts w:ascii="宋体" w:hAnsi="宋体"/>
          <w:b/>
          <w:sz w:val="24"/>
        </w:rPr>
        <w:t xml:space="preserve">（实质性格式）</w:t>
      </w:r>
      <w:r>
        <w:rPr>
          <w:rFonts w:ascii="宋体" w:hAnsi="宋体"/>
          <w:b/>
          <w:sz w:val="24"/>
          <w:szCs w:val="20"/>
        </w:rPr>
      </w:r>
      <w:r/>
    </w:p>
    <w:p>
      <w:pPr>
        <w:pStyle w:val="1070"/>
        <w:jc w:val="center"/>
        <w:spacing w:line="360" w:lineRule="exact"/>
        <w:rPr>
          <w:rFonts w:ascii="宋体" w:hAnsi="宋体"/>
          <w:sz w:val="36"/>
          <w:szCs w:val="36"/>
        </w:rPr>
      </w:pPr>
      <w:r>
        <w:rPr>
          <w:rFonts w:ascii="宋体" w:hAnsi="宋体"/>
          <w:sz w:val="36"/>
          <w:szCs w:val="36"/>
        </w:rPr>
      </w:r>
      <w:r/>
    </w:p>
    <w:p>
      <w:pPr>
        <w:pStyle w:val="1070"/>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0"/>
        <w:jc w:val="center"/>
        <w:spacing w:line="260" w:lineRule="exact"/>
        <w:rPr>
          <w:rFonts w:ascii="宋体" w:hAnsi="宋体"/>
          <w:sz w:val="36"/>
          <w:szCs w:val="36"/>
        </w:rPr>
      </w:pPr>
      <w:r>
        <w:rPr>
          <w:rFonts w:ascii="宋体" w:hAnsi="宋体"/>
          <w:sz w:val="36"/>
          <w:szCs w:val="36"/>
        </w:rPr>
      </w:r>
      <w:r/>
    </w:p>
    <w:p>
      <w:pPr>
        <w:pStyle w:val="1070"/>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148"/>
        <w:gridCol w:w="6138"/>
      </w:tblGrid>
      <w:tr>
        <w:trPr>
          <w:trHeight w:val="459"/>
        </w:trPr>
        <w:tc>
          <w:tcPr>
            <w:tcW w:w="1695" w:type="pct"/>
            <w:vAlign w:val="center"/>
            <w:textDirection w:val="lrTb"/>
            <w:noWrap w:val="false"/>
          </w:tcPr>
          <w:p>
            <w:pPr>
              <w:pStyle w:val="1070"/>
              <w:jc w:val="center"/>
              <w:rPr>
                <w:rFonts w:ascii="宋体" w:hAnsi="宋体" w:cs="宋体"/>
                <w:sz w:val="24"/>
              </w:rPr>
            </w:pPr>
            <w:r>
              <w:rPr>
                <w:rFonts w:hint="eastAsia" w:ascii="宋体" w:hAnsi="宋体" w:cs="宋体"/>
                <w:sz w:val="24"/>
              </w:rPr>
              <w:t xml:space="preserve">项目名称</w:t>
            </w:r>
            <w:r>
              <w:rPr>
                <w:rFonts w:ascii="宋体" w:hAnsi="宋体" w:cs="宋体"/>
                <w:sz w:val="24"/>
              </w:rPr>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1070"/>
              <w:jc w:val="center"/>
              <w:rPr>
                <w:rFonts w:ascii="宋体" w:hAnsi="宋体" w:cs="宋体"/>
                <w:sz w:val="24"/>
              </w:rPr>
            </w:pPr>
            <w:r>
              <w:rPr>
                <w:rFonts w:hint="eastAsia" w:ascii="宋体" w:hAnsi="宋体" w:cs="宋体"/>
                <w:sz w:val="24"/>
              </w:rPr>
              <w:t xml:space="preserve">项目编号/包号</w:t>
            </w:r>
            <w:r>
              <w:rPr>
                <w:rFonts w:ascii="宋体" w:hAnsi="宋体" w:cs="宋体"/>
                <w:sz w:val="24"/>
              </w:rPr>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1070"/>
              <w:jc w:val="center"/>
              <w:rPr>
                <w:rFonts w:ascii="宋体" w:hAnsi="宋体" w:cs="宋体"/>
                <w:sz w:val="24"/>
              </w:rPr>
            </w:pPr>
            <w:r>
              <w:rPr>
                <w:rFonts w:hint="eastAsia" w:ascii="宋体" w:hAnsi="宋体" w:cs="宋体"/>
                <w:sz w:val="24"/>
              </w:rPr>
              <w:t xml:space="preserve">产品名称</w:t>
            </w:r>
            <w:r>
              <w:rPr>
                <w:rFonts w:ascii="宋体" w:hAnsi="宋体" w:cs="宋体"/>
                <w:sz w:val="24"/>
              </w:rPr>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1070"/>
              <w:jc w:val="center"/>
              <w:rPr>
                <w:rFonts w:ascii="宋体" w:hAnsi="宋体" w:cs="宋体"/>
                <w:sz w:val="24"/>
              </w:rPr>
            </w:pPr>
            <w:r>
              <w:rPr>
                <w:rFonts w:hint="eastAsia"/>
                <w:sz w:val="24"/>
              </w:rPr>
              <w:t xml:space="preserve">商品名</w:t>
            </w:r>
            <w:r>
              <w:rPr>
                <w:rFonts w:ascii="宋体" w:hAnsi="宋体" w:cs="宋体"/>
                <w:sz w:val="24"/>
              </w:rPr>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1070"/>
              <w:jc w:val="center"/>
              <w:rPr>
                <w:rFonts w:ascii="宋体" w:hAnsi="宋体" w:cs="宋体"/>
                <w:sz w:val="24"/>
              </w:rPr>
            </w:pPr>
            <w:r>
              <w:rPr>
                <w:rFonts w:hint="eastAsia"/>
                <w:sz w:val="24"/>
              </w:rPr>
              <w:t xml:space="preserve">产品编码（阳光平台）</w:t>
            </w:r>
            <w:r>
              <w:rPr>
                <w:rFonts w:ascii="宋体" w:hAnsi="宋体" w:cs="宋体"/>
                <w:sz w:val="24"/>
              </w:rPr>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1070"/>
              <w:jc w:val="center"/>
              <w:rPr>
                <w:rFonts w:ascii="宋体" w:hAnsi="宋体" w:cs="宋体"/>
                <w:sz w:val="24"/>
              </w:rPr>
            </w:pPr>
            <w:r>
              <w:rPr>
                <w:rFonts w:hint="eastAsia"/>
                <w:sz w:val="24"/>
              </w:rPr>
              <w:t xml:space="preserve">规格</w:t>
            </w:r>
            <w:r>
              <w:rPr>
                <w:rFonts w:ascii="宋体" w:hAnsi="宋体" w:cs="宋体"/>
                <w:sz w:val="24"/>
              </w:rPr>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1070"/>
              <w:jc w:val="center"/>
              <w:rPr>
                <w:sz w:val="24"/>
              </w:rPr>
            </w:pPr>
            <w:r>
              <w:rPr>
                <w:rFonts w:hint="eastAsia"/>
                <w:sz w:val="24"/>
              </w:rPr>
              <w:t xml:space="preserve">包装单位</w:t>
            </w:r>
            <w:r>
              <w:rPr>
                <w:sz w:val="24"/>
              </w:rPr>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trHeight w:val="459"/>
        </w:trPr>
        <w:tc>
          <w:tcPr>
            <w:tcW w:w="1695" w:type="pct"/>
            <w:vAlign w:val="center"/>
            <w:textDirection w:val="lrTb"/>
            <w:noWrap w:val="false"/>
          </w:tcPr>
          <w:p>
            <w:pPr>
              <w:pStyle w:val="1070"/>
              <w:jc w:val="center"/>
              <w:rPr>
                <w:sz w:val="24"/>
              </w:rPr>
            </w:pPr>
            <w:r>
              <w:rPr>
                <w:rFonts w:hint="eastAsia"/>
                <w:sz w:val="24"/>
              </w:rPr>
              <w:t xml:space="preserve">投标报价</w:t>
            </w:r>
            <w:r>
              <w:rPr>
                <w:sz w:val="24"/>
              </w:rPr>
              <w:t xml:space="preserve">（</w:t>
            </w:r>
            <w:r>
              <w:rPr>
                <w:rFonts w:hint="eastAsia"/>
                <w:sz w:val="24"/>
              </w:rPr>
              <w:t xml:space="preserve">最小单位报价</w:t>
            </w:r>
            <w:r>
              <w:rPr>
                <w:sz w:val="24"/>
              </w:rPr>
              <w:t xml:space="preserve">）</w:t>
            </w:r>
            <w:r/>
          </w:p>
        </w:tc>
        <w:tc>
          <w:tcPr>
            <w:tcW w:w="3304" w:type="pct"/>
            <w:vAlign w:val="center"/>
            <w:textDirection w:val="lrTb"/>
            <w:noWrap w:val="false"/>
          </w:tcPr>
          <w:p>
            <w:pPr>
              <w:pStyle w:val="1070"/>
              <w:jc w:val="center"/>
              <w:widowControl/>
              <w:rPr>
                <w:rFonts w:hint="eastAsia" w:ascii="宋体" w:hAnsi="宋体" w:cs="宋体"/>
                <w:sz w:val="24"/>
              </w:rPr>
            </w:pP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rPr>
              <w:t xml:space="preserve">元/</w:t>
            </w:r>
            <w:r>
              <w:rPr>
                <w:rFonts w:hint="eastAsia" w:ascii="宋体" w:hAnsi="宋体"/>
                <w:sz w:val="24"/>
              </w:rPr>
              <w:t xml:space="preserve">毫升</w:t>
            </w:r>
            <w:r>
              <w:rPr>
                <w:rFonts w:hint="eastAsia" w:ascii="宋体" w:hAnsi="宋体" w:cs="宋体"/>
                <w:sz w:val="24"/>
              </w:rPr>
            </w:r>
            <w:r/>
          </w:p>
        </w:tc>
      </w:tr>
      <w:tr>
        <w:trPr>
          <w:trHeight w:val="459"/>
        </w:trPr>
        <w:tc>
          <w:tcPr>
            <w:tcW w:w="1695" w:type="pct"/>
            <w:vAlign w:val="center"/>
            <w:textDirection w:val="lrTb"/>
            <w:noWrap w:val="false"/>
          </w:tcPr>
          <w:p>
            <w:pPr>
              <w:pStyle w:val="1070"/>
              <w:jc w:val="center"/>
              <w:rPr>
                <w:sz w:val="24"/>
              </w:rPr>
            </w:pPr>
            <w:r>
              <w:rPr>
                <w:rFonts w:hint="eastAsia"/>
                <w:sz w:val="24"/>
              </w:rPr>
              <w:t xml:space="preserve">包装</w:t>
            </w:r>
            <w:r>
              <w:rPr>
                <w:sz w:val="24"/>
              </w:rPr>
              <w:t xml:space="preserve">价格</w:t>
            </w:r>
            <w:r/>
          </w:p>
        </w:tc>
        <w:tc>
          <w:tcPr>
            <w:tcW w:w="3304" w:type="pct"/>
            <w:vAlign w:val="center"/>
            <w:textDirection w:val="lrTb"/>
            <w:noWrap w:val="false"/>
          </w:tcPr>
          <w:p>
            <w:pPr>
              <w:pStyle w:val="1070"/>
              <w:jc w:val="center"/>
              <w:widowControl/>
              <w:rPr>
                <w:rFonts w:ascii="宋体" w:hAnsi="宋体" w:cs="宋体"/>
                <w:sz w:val="24"/>
              </w:rPr>
            </w:pPr>
            <w:r>
              <w:rPr>
                <w:rFonts w:ascii="宋体" w:hAnsi="宋体" w:cs="宋体"/>
                <w:sz w:val="24"/>
              </w:rPr>
            </w:r>
            <w:r/>
          </w:p>
        </w:tc>
      </w:tr>
      <w:tr>
        <w:trPr>
          <w:cantSplit/>
          <w:trHeight w:val="453"/>
        </w:trPr>
        <w:tc>
          <w:tcPr>
            <w:tcW w:w="1695" w:type="pct"/>
            <w:vAlign w:val="center"/>
            <w:textDirection w:val="lrTb"/>
            <w:noWrap w:val="false"/>
          </w:tcPr>
          <w:p>
            <w:pPr>
              <w:pStyle w:val="1070"/>
              <w:jc w:val="center"/>
              <w:rPr>
                <w:rFonts w:ascii="宋体" w:hAnsi="宋体" w:cs="宋体"/>
                <w:sz w:val="24"/>
              </w:rPr>
            </w:pPr>
            <w:r>
              <w:rPr>
                <w:rFonts w:hint="eastAsia" w:ascii="宋体" w:hAnsi="宋体" w:cs="宋体"/>
                <w:sz w:val="24"/>
              </w:rPr>
              <w:t xml:space="preserve">质保期</w:t>
            </w:r>
            <w:r>
              <w:rPr>
                <w:rFonts w:ascii="宋体" w:hAnsi="宋体" w:cs="宋体"/>
                <w:sz w:val="24"/>
              </w:rPr>
            </w:r>
            <w:r/>
          </w:p>
        </w:tc>
        <w:tc>
          <w:tcPr>
            <w:tcW w:w="3304" w:type="pct"/>
            <w:vAlign w:val="center"/>
            <w:textDirection w:val="lrTb"/>
            <w:noWrap w:val="false"/>
          </w:tcPr>
          <w:p>
            <w:pPr>
              <w:pStyle w:val="1070"/>
              <w:jc w:val="center"/>
              <w:widowControl/>
              <w:rPr>
                <w:rFonts w:ascii="宋体" w:hAnsi="宋体" w:cs="宋体"/>
                <w:sz w:val="24"/>
              </w:rPr>
            </w:pPr>
            <w:r>
              <w:rPr>
                <w:rFonts w:hint="eastAsia" w:ascii="宋体" w:hAnsi="宋体" w:cs="宋体"/>
                <w:sz w:val="24"/>
              </w:rPr>
              <w:t xml:space="preserve">年</w:t>
            </w:r>
            <w:r>
              <w:rPr>
                <w:rFonts w:ascii="宋体" w:hAnsi="宋体" w:cs="宋体"/>
                <w:sz w:val="24"/>
              </w:rPr>
            </w:r>
            <w:r/>
          </w:p>
        </w:tc>
      </w:tr>
    </w:tbl>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hint="eastAsia" w:ascii="宋体" w:hAnsi="宋体"/>
          <w:sz w:val="24"/>
        </w:rPr>
      </w:pPr>
      <w:r>
        <w:rPr>
          <w:rFonts w:hint="eastAsia"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注：1.如果不提供分项报价将视为没有实质性响应招标文件。</w:t>
      </w:r>
      <w:r/>
    </w:p>
    <w:p>
      <w:pPr>
        <w:pStyle w:val="1070"/>
        <w:ind w:firstLine="480"/>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本表行数可以按照项目分项情况增加。</w:t>
      </w:r>
      <w:r/>
    </w:p>
    <w:p>
      <w:pPr>
        <w:pStyle w:val="1070"/>
        <w:ind w:firstLine="480"/>
        <w:jc w:val="left"/>
        <w:tabs>
          <w:tab w:val="left" w:pos="1800" w:leader="none"/>
          <w:tab w:val="left" w:pos="5580" w:leader="none"/>
        </w:tabs>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hint="eastAsia" w:ascii="宋体" w:hAnsi="宋体"/>
          <w:b/>
          <w:i/>
          <w:sz w:val="24"/>
        </w:rPr>
      </w:pPr>
      <w:r>
        <w:rPr>
          <w:rFonts w:hint="eastAsia" w:ascii="宋体" w:hAnsi="宋体"/>
          <w:b/>
          <w:i/>
          <w:sz w:val="24"/>
        </w:rPr>
      </w:r>
      <w:r/>
    </w:p>
    <w:p>
      <w:pPr>
        <w:pStyle w:val="1070"/>
        <w:jc w:val="left"/>
        <w:spacing w:before="240" w:after="240"/>
        <w:rPr>
          <w:rFonts w:ascii="宋体" w:hAnsi="宋体"/>
          <w:sz w:val="24"/>
          <w:lang w:val="zh-CN"/>
        </w:rPr>
      </w:pPr>
      <w:r/>
      <w:bookmarkStart w:id="888" w:name="_Toc150480798"/>
      <w:r/>
      <w:bookmarkStart w:id="889" w:name="_Toc265228400"/>
      <w:r/>
      <w:bookmarkStart w:id="890" w:name="_Toc226337258"/>
      <w:r/>
      <w:bookmarkStart w:id="891" w:name="_Toc305158904"/>
      <w:r/>
      <w:bookmarkStart w:id="892" w:name="_Toc226965835"/>
      <w:r/>
      <w:bookmarkStart w:id="893" w:name="_Toc264969252"/>
      <w:r/>
      <w:bookmarkStart w:id="894" w:name="_Toc226965752"/>
      <w:r/>
      <w:bookmarkStart w:id="895" w:name="_Toc127151562"/>
      <w:r/>
      <w:bookmarkStart w:id="896" w:name="_Toc142311062"/>
      <w:r/>
      <w:bookmarkStart w:id="897" w:name="_Toc150774765"/>
      <w:r/>
      <w:bookmarkStart w:id="898" w:name="_Toc195842927"/>
      <w:r/>
      <w:bookmarkStart w:id="899" w:name="_Toc226309806"/>
      <w:r/>
      <w:bookmarkStart w:id="900" w:name="_Toc305158830"/>
      <w:r/>
      <w:bookmarkStart w:id="901" w:name="_Toc150774764"/>
      <w:r/>
      <w:bookmarkStart w:id="902" w:name="_Toc226965751"/>
      <w:r/>
      <w:bookmarkStart w:id="903" w:name="_Toc150480797"/>
      <w:r/>
      <w:bookmarkStart w:id="904" w:name="_Toc264969251"/>
      <w:r/>
      <w:bookmarkStart w:id="905" w:name="_Toc305158829"/>
      <w:r/>
      <w:bookmarkStart w:id="906" w:name="_Toc226309805"/>
      <w:r/>
      <w:bookmarkStart w:id="907" w:name="_Toc195842926"/>
      <w:r/>
      <w:bookmarkStart w:id="908" w:name="_Toc127151561"/>
      <w:r/>
      <w:bookmarkStart w:id="909" w:name="_Toc142311061"/>
      <w:r/>
      <w:bookmarkStart w:id="910" w:name="_Toc305158903"/>
      <w:r/>
      <w:bookmarkStart w:id="911" w:name="_Toc226965834"/>
      <w:r/>
      <w:bookmarkStart w:id="912" w:name="_Toc226337257"/>
      <w:r/>
      <w:bookmarkStart w:id="913" w:name="_Toc265228399"/>
      <w:r>
        <w:rPr>
          <w:rFonts w:ascii="宋体" w:hAnsi="宋体"/>
          <w:sz w:val="24"/>
          <w:szCs w:val="20"/>
        </w:rPr>
        <w:t xml:space="preserve">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rFonts w:ascii="宋体" w:hAnsi="宋体"/>
          <w:b/>
          <w:sz w:val="24"/>
        </w:rPr>
        <w:t xml:space="preserve">（实质性格式）</w:t>
      </w:r>
      <w:r>
        <w:rPr>
          <w:rFonts w:ascii="宋体" w:hAnsi="宋体"/>
          <w:b/>
          <w:sz w:val="24"/>
          <w:szCs w:val="20"/>
        </w:rPr>
      </w:r>
      <w:r/>
    </w:p>
    <w:p>
      <w:pPr>
        <w:pStyle w:val="1070"/>
        <w:spacing w:line="360" w:lineRule="auto"/>
        <w:rPr>
          <w:rFonts w:ascii="宋体" w:hAnsi="宋体"/>
          <w:sz w:val="24"/>
          <w:szCs w:val="20"/>
        </w:rPr>
      </w:pPr>
      <w:r>
        <w:rPr>
          <w:rFonts w:ascii="宋体" w:hAnsi="宋体"/>
          <w:sz w:val="24"/>
          <w:szCs w:val="20"/>
        </w:rPr>
      </w:r>
      <w:r/>
    </w:p>
    <w:p>
      <w:pPr>
        <w:pStyle w:val="1070"/>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0"/>
        <w:spacing w:line="360" w:lineRule="auto"/>
        <w:rPr>
          <w:rFonts w:ascii="宋体" w:hAnsi="宋体"/>
          <w:sz w:val="24"/>
          <w:szCs w:val="20"/>
        </w:rPr>
      </w:pPr>
      <w:r>
        <w:rPr>
          <w:rFonts w:ascii="宋体" w:hAnsi="宋体"/>
          <w:sz w:val="24"/>
          <w:szCs w:val="20"/>
        </w:rPr>
      </w:r>
      <w:r/>
    </w:p>
    <w:p>
      <w:pPr>
        <w:pStyle w:val="1070"/>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0"/>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0"/>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0"/>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0"/>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0"/>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0"/>
              <w:jc w:val="center"/>
              <w:rPr>
                <w:rFonts w:ascii="宋体" w:hAnsi="宋体"/>
                <w:sz w:val="24"/>
              </w:rPr>
            </w:pPr>
            <w:r>
              <w:rPr>
                <w:rFonts w:ascii="宋体" w:hAnsi="宋体"/>
                <w:sz w:val="24"/>
              </w:rPr>
            </w:r>
            <w:r/>
          </w:p>
        </w:tc>
        <w:tc>
          <w:tcPr>
            <w:tcW w:w="2007" w:type="dxa"/>
            <w:vAlign w:val="center"/>
            <w:textDirection w:val="lrTb"/>
            <w:noWrap w:val="false"/>
          </w:tcPr>
          <w:p>
            <w:pPr>
              <w:pStyle w:val="1070"/>
              <w:jc w:val="center"/>
              <w:rPr>
                <w:rFonts w:ascii="宋体" w:hAnsi="宋体"/>
                <w:sz w:val="24"/>
              </w:rPr>
            </w:pPr>
            <w:r>
              <w:rPr>
                <w:rFonts w:ascii="宋体" w:hAnsi="宋体"/>
                <w:sz w:val="24"/>
              </w:rPr>
            </w:r>
            <w:r/>
          </w:p>
        </w:tc>
        <w:tc>
          <w:tcPr>
            <w:tcW w:w="2008" w:type="dxa"/>
            <w:vAlign w:val="center"/>
            <w:textDirection w:val="lrTb"/>
            <w:noWrap w:val="false"/>
          </w:tcPr>
          <w:p>
            <w:pPr>
              <w:pStyle w:val="1070"/>
              <w:jc w:val="center"/>
              <w:rPr>
                <w:rFonts w:ascii="宋体" w:hAnsi="宋体"/>
                <w:sz w:val="24"/>
              </w:rPr>
            </w:pPr>
            <w:r>
              <w:rPr>
                <w:rFonts w:ascii="宋体" w:hAnsi="宋体"/>
                <w:sz w:val="24"/>
              </w:rPr>
            </w:r>
            <w:r/>
          </w:p>
        </w:tc>
        <w:tc>
          <w:tcPr>
            <w:tcW w:w="2458" w:type="dxa"/>
            <w:vAlign w:val="center"/>
            <w:textDirection w:val="lrTb"/>
            <w:noWrap w:val="false"/>
          </w:tcPr>
          <w:p>
            <w:pPr>
              <w:pStyle w:val="1070"/>
              <w:jc w:val="center"/>
              <w:rPr>
                <w:rFonts w:ascii="宋体" w:hAnsi="宋体"/>
                <w:sz w:val="24"/>
              </w:rPr>
            </w:pPr>
            <w:r>
              <w:rPr>
                <w:rFonts w:ascii="宋体" w:hAnsi="宋体"/>
                <w:sz w:val="24"/>
              </w:rPr>
            </w:r>
            <w:r/>
          </w:p>
        </w:tc>
        <w:tc>
          <w:tcPr>
            <w:tcW w:w="788"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spacing w:line="360" w:lineRule="auto"/>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bookmarkEnd w:id="913"/>
      <w:r>
        <w:rPr>
          <w:rFonts w:ascii="宋体" w:hAnsi="宋体"/>
          <w:b/>
          <w:sz w:val="24"/>
          <w:szCs w:val="20"/>
        </w:rPr>
        <w:t xml:space="preserve">采购需求偏离表（实质性格式）</w:t>
      </w:r>
      <w:r/>
    </w:p>
    <w:p>
      <w:pPr>
        <w:pStyle w:val="1070"/>
        <w:jc w:val="center"/>
        <w:spacing w:line="360" w:lineRule="auto"/>
        <w:rPr>
          <w:rFonts w:hint="eastAsia" w:ascii="宋体" w:hAnsi="宋体"/>
          <w:b/>
          <w:sz w:val="36"/>
          <w:szCs w:val="36"/>
        </w:rPr>
      </w:pPr>
      <w:r>
        <w:rPr>
          <w:rFonts w:hint="eastAsia" w:ascii="宋体" w:hAnsi="宋体"/>
          <w:b/>
          <w:sz w:val="36"/>
          <w:szCs w:val="36"/>
        </w:rPr>
      </w:r>
      <w:r/>
    </w:p>
    <w:p>
      <w:pPr>
        <w:pStyle w:val="1070"/>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0"/>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0"/>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0"/>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0"/>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0"/>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0"/>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0"/>
              <w:jc w:val="center"/>
              <w:rPr>
                <w:rFonts w:ascii="宋体" w:hAnsi="宋体"/>
                <w:sz w:val="24"/>
              </w:rPr>
            </w:pPr>
            <w:r>
              <w:rPr>
                <w:rFonts w:ascii="宋体" w:hAnsi="宋体"/>
                <w:sz w:val="24"/>
              </w:rPr>
            </w:r>
            <w:r/>
          </w:p>
        </w:tc>
        <w:tc>
          <w:tcPr>
            <w:tcW w:w="2384" w:type="dxa"/>
            <w:vAlign w:val="center"/>
            <w:textDirection w:val="lrTb"/>
            <w:noWrap w:val="false"/>
          </w:tcPr>
          <w:p>
            <w:pPr>
              <w:pStyle w:val="1070"/>
              <w:jc w:val="center"/>
              <w:rPr>
                <w:rFonts w:ascii="宋体" w:hAnsi="宋体"/>
                <w:sz w:val="24"/>
              </w:rPr>
            </w:pPr>
            <w:r>
              <w:rPr>
                <w:rFonts w:ascii="宋体" w:hAnsi="宋体"/>
                <w:sz w:val="24"/>
              </w:rPr>
            </w:r>
            <w:r/>
          </w:p>
        </w:tc>
        <w:tc>
          <w:tcPr>
            <w:tcW w:w="2126" w:type="dxa"/>
            <w:vAlign w:val="center"/>
            <w:textDirection w:val="lrTb"/>
            <w:noWrap w:val="false"/>
          </w:tcPr>
          <w:p>
            <w:pPr>
              <w:pStyle w:val="1070"/>
              <w:jc w:val="center"/>
              <w:rPr>
                <w:rFonts w:ascii="宋体" w:hAnsi="宋体"/>
                <w:sz w:val="24"/>
              </w:rPr>
            </w:pPr>
            <w:r>
              <w:rPr>
                <w:rFonts w:ascii="宋体" w:hAnsi="宋体"/>
                <w:sz w:val="24"/>
              </w:rPr>
            </w:r>
            <w:r/>
          </w:p>
        </w:tc>
        <w:tc>
          <w:tcPr>
            <w:tcW w:w="1875" w:type="dxa"/>
            <w:vAlign w:val="center"/>
            <w:textDirection w:val="lrTb"/>
            <w:noWrap w:val="false"/>
          </w:tcPr>
          <w:p>
            <w:pPr>
              <w:pStyle w:val="1070"/>
              <w:jc w:val="center"/>
              <w:rPr>
                <w:rFonts w:ascii="宋体" w:hAnsi="宋体"/>
                <w:sz w:val="24"/>
              </w:rPr>
            </w:pPr>
            <w:r>
              <w:rPr>
                <w:rFonts w:ascii="宋体" w:hAnsi="宋体"/>
                <w:sz w:val="24"/>
              </w:rPr>
            </w:r>
            <w:r/>
          </w:p>
        </w:tc>
        <w:tc>
          <w:tcPr>
            <w:tcW w:w="1009" w:type="dxa"/>
            <w:vAlign w:val="center"/>
            <w:textDirection w:val="lrTb"/>
            <w:noWrap w:val="false"/>
          </w:tcPr>
          <w:p>
            <w:pPr>
              <w:pStyle w:val="1070"/>
              <w:jc w:val="center"/>
              <w:rPr>
                <w:rFonts w:ascii="宋体" w:hAnsi="宋体"/>
                <w:sz w:val="24"/>
              </w:rPr>
            </w:pPr>
            <w:r>
              <w:rPr>
                <w:rFonts w:ascii="宋体" w:hAnsi="宋体"/>
                <w:sz w:val="24"/>
              </w:rPr>
            </w:r>
            <w:r/>
          </w:p>
        </w:tc>
      </w:tr>
    </w:tbl>
    <w:p>
      <w:pPr>
        <w:pStyle w:val="1070"/>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0"/>
        <w:jc w:val="left"/>
        <w:tabs>
          <w:tab w:val="left" w:pos="1800" w:leader="none"/>
          <w:tab w:val="left" w:pos="5580" w:leader="none"/>
        </w:tabs>
        <w:rPr>
          <w:rFonts w:ascii="宋体" w:hAnsi="宋体"/>
          <w:sz w:val="24"/>
        </w:rPr>
      </w:pPr>
      <w:r>
        <w:rPr>
          <w:rFonts w:ascii="宋体" w:hAnsi="宋体"/>
          <w:sz w:val="24"/>
        </w:rPr>
        <w:t xml:space="preserve">注：</w:t>
      </w:r>
      <w:r/>
    </w:p>
    <w:p>
      <w:pPr>
        <w:pStyle w:val="1070"/>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jc w:val="left"/>
        <w:tabs>
          <w:tab w:val="left" w:pos="1800" w:leader="none"/>
          <w:tab w:val="left" w:pos="5580" w:leader="none"/>
        </w:tabs>
        <w:rPr>
          <w:rFonts w:ascii="宋体" w:hAnsi="宋体"/>
          <w:sz w:val="24"/>
        </w:rPr>
      </w:pPr>
      <w:r>
        <w:rPr>
          <w:rFonts w:ascii="宋体" w:hAnsi="宋体"/>
          <w:sz w:val="24"/>
        </w:rPr>
      </w:r>
      <w:r/>
    </w:p>
    <w:p>
      <w:pPr>
        <w:pStyle w:val="1070"/>
        <w:rPr>
          <w:rFonts w:ascii="宋体" w:hAnsi="宋体"/>
          <w:sz w:val="24"/>
          <w:szCs w:val="20"/>
        </w:rPr>
      </w:pPr>
      <w:r>
        <w:rPr>
          <w:rFonts w:ascii="宋体" w:hAnsi="宋体"/>
          <w:sz w:val="24"/>
          <w:szCs w:val="20"/>
        </w:rPr>
      </w:r>
      <w:r/>
    </w:p>
    <w:p>
      <w:pPr>
        <w:pStyle w:val="1070"/>
        <w:spacing w:before="25" w:after="25" w:line="360" w:lineRule="auto"/>
        <w:rPr>
          <w:rFonts w:ascii="宋体" w:hAnsi="宋体"/>
          <w:sz w:val="24"/>
          <w:lang w:val="zh-CN"/>
        </w:rPr>
      </w:pPr>
      <w:r>
        <w:rPr>
          <w:rFonts w:ascii="宋体" w:hAnsi="宋体"/>
          <w:sz w:val="24"/>
          <w:lang w:val="zh-CN"/>
        </w:rPr>
        <w:t xml:space="preserve">                  </w:t>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0"/>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0"/>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0"/>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0"/>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6"/>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0"/>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0"/>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0"/>
        <w:jc w:val="left"/>
        <w:widowControl/>
        <w:rPr>
          <w:rFonts w:ascii="宋体" w:hAnsi="宋体"/>
          <w:b/>
          <w:bCs/>
          <w:sz w:val="24"/>
        </w:rPr>
      </w:pPr>
      <w:r>
        <w:rPr>
          <w:rFonts w:ascii="宋体" w:hAnsi="宋体"/>
          <w:b/>
          <w:bCs/>
          <w:sz w:val="24"/>
        </w:rPr>
        <w:br w:type="page" w:clear="all"/>
      </w:r>
      <w:r/>
    </w:p>
    <w:p>
      <w:pPr>
        <w:pStyle w:val="1070"/>
        <w:jc w:val="center"/>
        <w:spacing w:before="240" w:after="240" w:line="360" w:lineRule="auto"/>
        <w:rPr>
          <w:rFonts w:ascii="宋体" w:hAnsi="宋体"/>
          <w:b/>
          <w:sz w:val="36"/>
          <w:szCs w:val="36"/>
        </w:rPr>
      </w:pPr>
      <w:r>
        <w:rPr>
          <w:rFonts w:ascii="宋体" w:hAnsi="宋体"/>
          <w:b/>
          <w:bCs/>
          <w:sz w:val="36"/>
          <w:szCs w:val="36"/>
        </w:rPr>
        <w:t xml:space="preserve">中小企业声明函（货物）格式</w:t>
      </w:r>
      <w:r>
        <w:rPr>
          <w:rFonts w:ascii="宋体" w:hAnsi="宋体"/>
          <w:b/>
          <w:sz w:val="36"/>
          <w:szCs w:val="36"/>
        </w:rPr>
      </w:r>
      <w:r/>
    </w:p>
    <w:p>
      <w:pPr>
        <w:pStyle w:val="1070"/>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采购活动，提供的货物全部由符合政策要求的中小企业制造。相关企业（含联合体中的中小企业、签订分包意向协议的中小企业）的具体情况如下：</w:t>
      </w:r>
      <w:r/>
    </w:p>
    <w:p>
      <w:pPr>
        <w:pStyle w:val="1070"/>
        <w:numPr>
          <w:ilvl w:val="0"/>
          <w:numId w:val="14"/>
        </w:numPr>
        <w:ind w:right="169" w:firstLine="646"/>
        <w:jc w:val="left"/>
        <w:spacing w:line="360" w:lineRule="auto"/>
        <w:tabs>
          <w:tab w:val="left" w:pos="1183" w:leader="none"/>
          <w:tab w:val="left" w:pos="1484" w:leader="none"/>
          <w:tab w:val="left" w:pos="4662" w:leader="none"/>
          <w:tab w:val="left" w:pos="690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u w:val="single"/>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"_bookmark0"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0"/>
        <w:numPr>
          <w:ilvl w:val="0"/>
          <w:numId w:val="14"/>
        </w:numPr>
        <w:ind w:right="169" w:firstLine="646"/>
        <w:jc w:val="left"/>
        <w:spacing w:line="360" w:lineRule="auto"/>
        <w:tabs>
          <w:tab w:val="left" w:pos="1165" w:leader="none"/>
          <w:tab w:val="left" w:pos="1183" w:leader="none"/>
          <w:tab w:val="left" w:pos="4362" w:leader="none"/>
          <w:tab w:val="left" w:pos="657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b/>
          <w:sz w:val="24"/>
          <w:u w:val="single"/>
        </w:rPr>
        <w:t xml:space="preserve">工业行业</w:t>
      </w:r>
      <w:r>
        <w:rPr>
          <w:rFonts w:ascii="宋体" w:hAnsi="宋体"/>
          <w:sz w:val="24"/>
        </w:rPr>
        <w:t xml:space="preserve">；制造商为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0"/>
        <w:ind w:left="860"/>
        <w:jc w:val="left"/>
        <w:spacing w:line="360" w:lineRule="auto"/>
        <w:rPr>
          <w:rFonts w:ascii="宋体" w:hAnsi="宋体"/>
          <w:sz w:val="24"/>
        </w:rPr>
      </w:pPr>
      <w:r>
        <w:rPr>
          <w:rFonts w:ascii="宋体" w:hAnsi="宋体"/>
          <w:sz w:val="24"/>
        </w:rPr>
        <w:t xml:space="preserve">……</w:t>
      </w:r>
      <w:r/>
    </w:p>
    <w:p>
      <w:pPr>
        <w:pStyle w:val="1070"/>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0"/>
        <w:ind w:left="220" w:right="372" w:firstLine="645"/>
        <w:jc w:val="left"/>
        <w:spacing w:line="360" w:lineRule="auto"/>
        <w:rPr>
          <w:rFonts w:ascii="宋体" w:hAnsi="宋体"/>
          <w:sz w:val="24"/>
        </w:rPr>
      </w:pPr>
      <w:r>
        <w:rPr>
          <w:rFonts w:ascii="宋体" w:hAnsi="宋体"/>
          <w:sz w:val="24"/>
        </w:rPr>
        <w:t xml:space="preserve">本企业对上述声明内容的真实性负责。如有虚假，将依法承担相应责任。</w:t>
      </w:r>
      <w:r/>
    </w:p>
    <w:p>
      <w:pPr>
        <w:pStyle w:val="1070"/>
        <w:ind w:firstLine="504"/>
        <w:spacing w:line="360" w:lineRule="auto"/>
        <w:rPr>
          <w:rFonts w:ascii="宋体" w:hAnsi="宋体"/>
          <w:spacing w:val="6"/>
          <w:sz w:val="24"/>
        </w:rPr>
      </w:pPr>
      <w:r>
        <w:rPr>
          <w:rFonts w:ascii="宋体" w:hAnsi="宋体"/>
          <w:spacing w:val="6"/>
          <w:sz w:val="24"/>
        </w:rPr>
      </w:r>
      <w:r/>
    </w:p>
    <w:p>
      <w:pPr>
        <w:pStyle w:val="1070"/>
        <w:ind w:firstLine="504"/>
        <w:spacing w:line="360" w:lineRule="auto"/>
        <w:rPr>
          <w:rFonts w:ascii="宋体" w:hAnsi="宋体"/>
          <w:spacing w:val="6"/>
          <w:sz w:val="24"/>
        </w:rPr>
      </w:pPr>
      <w:r>
        <w:rPr>
          <w:rFonts w:ascii="宋体" w:hAnsi="宋体"/>
          <w:spacing w:val="6"/>
          <w:sz w:val="24"/>
        </w:rPr>
      </w:r>
      <w:r/>
    </w:p>
    <w:p>
      <w:pPr>
        <w:pStyle w:val="1070"/>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0"/>
        <w:ind w:right="360" w:firstLine="480"/>
        <w:jc w:val="right"/>
        <w:spacing w:line="360" w:lineRule="auto"/>
        <w:rPr>
          <w:rFonts w:ascii="宋体" w:hAnsi="宋体"/>
          <w:sz w:val="24"/>
        </w:rPr>
      </w:pPr>
      <w:r>
        <w:rPr>
          <w:rFonts w:ascii="宋体" w:hAnsi="宋体"/>
          <w:sz w:val="24"/>
        </w:rPr>
        <w:t xml:space="preserve">日 期：________</w:t>
      </w:r>
      <w:r/>
    </w:p>
    <w:p>
      <w:pPr>
        <w:pStyle w:val="1070"/>
        <w:ind w:right="360" w:firstLine="480"/>
        <w:jc w:val="right"/>
        <w:spacing w:line="360" w:lineRule="auto"/>
        <w:rPr>
          <w:rFonts w:ascii="宋体" w:hAnsi="宋体"/>
          <w:sz w:val="24"/>
        </w:rPr>
      </w:pPr>
      <w:r>
        <w:rPr>
          <w:rFonts w:ascii="宋体" w:hAnsi="宋体"/>
          <w:sz w:val="24"/>
        </w:rPr>
      </w:r>
      <w:r/>
    </w:p>
    <w:p>
      <w:pPr>
        <w:pStyle w:val="1070"/>
        <w:ind w:right="360" w:firstLine="480"/>
        <w:jc w:val="right"/>
        <w:spacing w:line="360" w:lineRule="auto"/>
        <w:rPr>
          <w:rFonts w:ascii="宋体" w:hAnsi="宋体"/>
          <w:sz w:val="24"/>
        </w:rPr>
      </w:pPr>
      <w:r>
        <w:rPr>
          <w:rFonts w:ascii="宋体" w:hAnsi="宋体"/>
          <w:sz w:val="24"/>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0"/>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0"/>
        <w:ind w:firstLine="420"/>
        <w:jc w:val="left"/>
        <w:rPr>
          <w:rFonts w:ascii="宋体" w:hAnsi="宋体"/>
          <w:sz w:val="24"/>
        </w:rPr>
      </w:pPr>
      <w:r>
        <w:rPr>
          <w:rFonts w:ascii="宋体" w:hAnsi="宋体"/>
          <w:sz w:val="24"/>
        </w:rPr>
      </w:r>
      <w:r/>
    </w:p>
    <w:p>
      <w:pPr>
        <w:pStyle w:val="1070"/>
        <w:spacing w:line="360" w:lineRule="auto"/>
        <w:rPr>
          <w:rFonts w:ascii="宋体" w:hAnsi="宋体"/>
          <w:sz w:val="24"/>
        </w:rPr>
      </w:pPr>
      <w:r>
        <w:rPr>
          <w:rFonts w:ascii="宋体" w:hAnsi="宋体"/>
          <w:sz w:val="24"/>
        </w:rPr>
      </w:r>
      <w:r/>
    </w:p>
    <w:p>
      <w:pPr>
        <w:pStyle w:val="1070"/>
        <w:jc w:val="center"/>
        <w:spacing w:before="240" w:after="240" w:line="360" w:lineRule="auto"/>
        <w:rPr>
          <w:rFonts w:ascii="宋体" w:hAnsi="宋体"/>
          <w:sz w:val="24"/>
          <w:szCs w:val="20"/>
        </w:rPr>
      </w:pPr>
      <w:r>
        <w:rPr>
          <w:rFonts w:ascii="宋体" w:hAnsi="宋体"/>
          <w:sz w:val="24"/>
        </w:rPr>
        <w:br w:type="page" w:clear="all"/>
      </w:r>
      <w:r>
        <w:rPr>
          <w:rFonts w:ascii="宋体" w:hAnsi="宋体"/>
          <w:szCs w:val="21"/>
          <w:vertAlign w:val="superscript"/>
        </w:rPr>
        <w:t xml:space="preserve"> </w:t>
      </w:r>
      <w:r>
        <w:rPr>
          <w:rFonts w:ascii="宋体" w:hAnsi="宋体"/>
          <w:sz w:val="24"/>
          <w:szCs w:val="20"/>
        </w:rPr>
      </w:r>
      <w:r/>
    </w:p>
    <w:p>
      <w:pPr>
        <w:pStyle w:val="1070"/>
        <w:spacing w:line="360" w:lineRule="auto"/>
        <w:rPr>
          <w:rFonts w:ascii="宋体" w:hAnsi="宋体"/>
          <w:sz w:val="24"/>
          <w:szCs w:val="20"/>
        </w:rPr>
        <w:outlineLvl w:val="2"/>
      </w:pPr>
      <w:r>
        <w:rPr>
          <w:rFonts w:ascii="宋体" w:hAnsi="宋体"/>
          <w:sz w:val="24"/>
          <w:szCs w:val="20"/>
        </w:rPr>
      </w:r>
      <w:r/>
    </w:p>
    <w:p>
      <w:pPr>
        <w:pStyle w:val="1070"/>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0"/>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0"/>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0"/>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firstLine="504"/>
        <w:spacing w:line="588" w:lineRule="exact"/>
        <w:rPr>
          <w:rFonts w:ascii="宋体" w:hAnsi="宋体"/>
          <w:spacing w:val="6"/>
          <w:sz w:val="24"/>
        </w:rPr>
      </w:pPr>
      <w:r>
        <w:rPr>
          <w:rFonts w:ascii="宋体" w:hAnsi="宋体"/>
          <w:spacing w:val="6"/>
          <w:sz w:val="24"/>
        </w:rPr>
      </w:r>
      <w:r/>
    </w:p>
    <w:p>
      <w:pPr>
        <w:pStyle w:val="1070"/>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0"/>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0"/>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rPr>
        <w:t xml:space="preserve">10</w:t>
      </w:r>
      <w:r>
        <w:rPr>
          <w:rFonts w:ascii="宋体" w:hAnsi="宋体"/>
          <w:b/>
          <w:sz w:val="24"/>
        </w:rPr>
        <w:t xml:space="preserve">  </w:t>
      </w:r>
      <w:r>
        <w:rPr>
          <w:rFonts w:hint="eastAsia" w:ascii="宋体" w:hAnsi="宋体"/>
          <w:b/>
          <w:sz w:val="24"/>
        </w:rPr>
        <w:t xml:space="preserve">项目实施方案等，包括但不限于如下主题：</w:t>
      </w:r>
      <w:r>
        <w:rPr>
          <w:rFonts w:ascii="宋体" w:hAnsi="宋体"/>
          <w:b/>
          <w:sz w:val="24"/>
          <w:szCs w:val="20"/>
        </w:rPr>
      </w:r>
      <w:r/>
    </w:p>
    <w:p>
      <w:pPr>
        <w:pStyle w:val="1070"/>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0"/>
        <w:ind w:firstLine="480"/>
        <w:spacing w:line="560" w:lineRule="exact"/>
        <w:rPr>
          <w:rFonts w:hint="eastAsia" w:ascii="宋体" w:hAnsi="宋体"/>
          <w:sz w:val="24"/>
          <w:szCs w:val="20"/>
        </w:rPr>
      </w:pPr>
      <w:r>
        <w:rPr>
          <w:rFonts w:hint="eastAsia" w:ascii="宋体" w:hAnsi="宋体"/>
          <w:sz w:val="24"/>
          <w:szCs w:val="20"/>
        </w:rPr>
      </w:r>
      <w:r/>
    </w:p>
    <w:p>
      <w:pPr>
        <w:pStyle w:val="1070"/>
        <w:spacing w:line="360" w:lineRule="auto"/>
        <w:rPr>
          <w:rFonts w:ascii="宋体" w:hAnsi="宋体"/>
          <w:b/>
          <w:sz w:val="24"/>
        </w:rPr>
        <w:outlineLvl w:val="2"/>
      </w:pPr>
      <w:r>
        <w:rPr>
          <w:rFonts w:hint="eastAsia" w:ascii="宋体" w:hAnsi="宋体"/>
          <w:b/>
          <w:sz w:val="24"/>
        </w:rPr>
        <w:t xml:space="preserve">11  参加本项目人员一览表</w:t>
      </w:r>
      <w:r>
        <w:rPr>
          <w:rFonts w:ascii="宋体" w:hAnsi="宋体"/>
          <w:b/>
          <w:sz w:val="24"/>
        </w:rPr>
      </w:r>
      <w:r/>
    </w:p>
    <w:p>
      <w:pPr>
        <w:pStyle w:val="1070"/>
        <w:jc w:val="center"/>
        <w:spacing w:line="360" w:lineRule="auto"/>
        <w:rPr>
          <w:rFonts w:hint="eastAsia" w:ascii="宋体" w:hAnsi="宋体"/>
          <w:b/>
          <w:sz w:val="32"/>
          <w:szCs w:val="32"/>
        </w:rPr>
      </w:pPr>
      <w:r>
        <w:rPr>
          <w:rFonts w:hint="eastAsia" w:ascii="宋体" w:hAnsi="宋体"/>
          <w:b/>
          <w:sz w:val="32"/>
          <w:szCs w:val="32"/>
        </w:rPr>
      </w:r>
      <w:r/>
    </w:p>
    <w:p>
      <w:pPr>
        <w:pStyle w:val="1070"/>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0"/>
        <w:spacing w:line="360" w:lineRule="auto"/>
        <w:rPr>
          <w:rFonts w:ascii="宋体" w:hAnsi="宋体"/>
          <w:sz w:val="22"/>
        </w:rPr>
      </w:pPr>
      <w:r>
        <w:rPr>
          <w:rFonts w:ascii="宋体" w:hAnsi="宋体"/>
          <w:sz w:val="22"/>
        </w:rPr>
      </w:r>
      <w:r/>
    </w:p>
    <w:p>
      <w:pPr>
        <w:pStyle w:val="107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0"/>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0"/>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0"/>
        <w:tabs>
          <w:tab w:val="left" w:pos="9765" w:leader="none"/>
        </w:tabs>
        <w:rPr>
          <w:rFonts w:ascii="宋体" w:hAnsi="宋体" w:cs="宋体"/>
          <w:b/>
          <w:sz w:val="24"/>
          <w:lang w:val="zh-CN"/>
        </w:rPr>
      </w:pPr>
      <w:r>
        <w:rPr>
          <w:rFonts w:ascii="宋体" w:hAnsi="宋体" w:cs="宋体"/>
          <w:b/>
          <w:sz w:val="24"/>
          <w:lang w:val="zh-CN"/>
        </w:rPr>
      </w:r>
      <w:r/>
    </w:p>
    <w:p>
      <w:pPr>
        <w:pStyle w:val="1070"/>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0"/>
        <w:spacing w:line="360" w:lineRule="auto"/>
        <w:rPr>
          <w:rFonts w:ascii="宋体" w:hAnsi="宋体"/>
          <w:sz w:val="24"/>
        </w:rPr>
      </w:pPr>
      <w:r>
        <w:rPr>
          <w:rFonts w:ascii="宋体" w:hAnsi="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b/>
          <w:sz w:val="24"/>
          <w:szCs w:val="20"/>
        </w:rPr>
        <w:outlineLvl w:val="2"/>
      </w:pPr>
      <w:r>
        <w:rPr>
          <w:rFonts w:ascii="宋体" w:hAnsi="宋体"/>
          <w:sz w:val="22"/>
        </w:rPr>
        <w:br w:type="page" w:clear="all"/>
      </w:r>
      <w:bookmarkStart w:id="914" w:name="_Toc288738397"/>
      <w:r/>
      <w:bookmarkStart w:id="915" w:name="_Toc288738839"/>
      <w:r>
        <w:rPr>
          <w:rFonts w:hint="eastAsia" w:ascii="宋体" w:hAnsi="宋体"/>
          <w:b/>
          <w:sz w:val="24"/>
        </w:rPr>
        <w:t xml:space="preserve">12  相关业绩案例一览表</w:t>
      </w:r>
      <w:r>
        <w:rPr>
          <w:rFonts w:ascii="宋体" w:hAnsi="宋体"/>
          <w:b/>
          <w:sz w:val="24"/>
          <w:szCs w:val="20"/>
        </w:rPr>
      </w:r>
      <w:r/>
    </w:p>
    <w:p>
      <w:pPr>
        <w:pStyle w:val="1070"/>
        <w:rPr>
          <w:rFonts w:ascii="宋体" w:hAnsi="宋体"/>
          <w:sz w:val="24"/>
          <w:szCs w:val="20"/>
        </w:rPr>
      </w:pPr>
      <w:r>
        <w:rPr>
          <w:rFonts w:ascii="宋体" w:hAnsi="宋体"/>
          <w:sz w:val="24"/>
          <w:szCs w:val="20"/>
        </w:rPr>
      </w:r>
      <w:r/>
    </w:p>
    <w:p>
      <w:pPr>
        <w:pStyle w:val="1070"/>
        <w:jc w:val="center"/>
        <w:rPr>
          <w:rFonts w:ascii="宋体" w:hAnsi="宋体"/>
          <w:b/>
          <w:sz w:val="32"/>
          <w:szCs w:val="32"/>
        </w:rPr>
      </w:pPr>
      <w:r>
        <w:rPr>
          <w:rFonts w:hint="eastAsia" w:ascii="宋体" w:hAnsi="宋体"/>
          <w:b/>
          <w:sz w:val="32"/>
          <w:szCs w:val="32"/>
        </w:rPr>
        <w:t xml:space="preserve">相关业绩案例一览表</w:t>
      </w:r>
      <w:bookmarkEnd w:id="914"/>
      <w:r/>
      <w:bookmarkEnd w:id="915"/>
      <w:r>
        <w:rPr>
          <w:rFonts w:ascii="宋体" w:hAnsi="宋体"/>
          <w:b/>
          <w:sz w:val="32"/>
          <w:szCs w:val="32"/>
        </w:rPr>
      </w:r>
      <w:r/>
    </w:p>
    <w:p>
      <w:pPr>
        <w:pStyle w:val="1070"/>
        <w:jc w:val="center"/>
        <w:spacing w:line="360" w:lineRule="auto"/>
        <w:rPr>
          <w:rFonts w:ascii="宋体" w:hAnsi="宋体"/>
          <w:b/>
          <w:sz w:val="28"/>
          <w:szCs w:val="30"/>
        </w:rPr>
      </w:pPr>
      <w:r>
        <w:rPr>
          <w:rFonts w:ascii="宋体" w:hAnsi="宋体"/>
          <w:b/>
          <w:sz w:val="28"/>
          <w:szCs w:val="30"/>
        </w:rPr>
      </w:r>
      <w:r/>
    </w:p>
    <w:p>
      <w:pPr>
        <w:pStyle w:val="1070"/>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0"/>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0"/>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0"/>
              <w:spacing w:line="360" w:lineRule="auto"/>
              <w:tabs>
                <w:tab w:val="left" w:pos="9765" w:leader="none"/>
              </w:tabs>
              <w:rPr>
                <w:rFonts w:ascii="宋体" w:hAnsi="宋体" w:cs="宋体"/>
                <w:sz w:val="24"/>
              </w:rPr>
            </w:pPr>
            <w:r>
              <w:rPr>
                <w:rFonts w:ascii="宋体" w:hAnsi="宋体" w:cs="宋体"/>
                <w:sz w:val="24"/>
              </w:rPr>
            </w:r>
            <w:r/>
          </w:p>
        </w:tc>
      </w:tr>
    </w:tbl>
    <w:p>
      <w:pPr>
        <w:pStyle w:val="1070"/>
        <w:tabs>
          <w:tab w:val="left" w:pos="9765" w:leader="none"/>
        </w:tabs>
        <w:rPr>
          <w:rFonts w:ascii="宋体" w:hAnsi="宋体" w:cs="宋体"/>
          <w:sz w:val="24"/>
          <w:lang w:val="zh-CN"/>
        </w:rPr>
      </w:pPr>
      <w:r>
        <w:rPr>
          <w:rFonts w:ascii="宋体" w:hAnsi="宋体" w:cs="宋体"/>
          <w:sz w:val="24"/>
          <w:lang w:val="zh-CN"/>
        </w:rPr>
      </w:r>
      <w:r/>
    </w:p>
    <w:p>
      <w:pPr>
        <w:pStyle w:val="1070"/>
        <w:spacing w:line="360" w:lineRule="auto"/>
        <w:rPr>
          <w:rFonts w:ascii="宋体" w:hAnsi="宋体" w:cs="宋体"/>
          <w:sz w:val="24"/>
        </w:rPr>
      </w:pPr>
      <w:r>
        <w:rPr>
          <w:rFonts w:ascii="宋体" w:hAnsi="宋体" w:cs="宋体"/>
          <w:sz w:val="24"/>
        </w:rPr>
      </w:r>
      <w:r/>
    </w:p>
    <w:p>
      <w:pPr>
        <w:pStyle w:val="1070"/>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rPr>
        <w:outlineLvl w:val="2"/>
      </w:pPr>
      <w:r>
        <w:rPr>
          <w:rFonts w:ascii="宋体" w:hAnsi="宋体"/>
        </w:rPr>
      </w:r>
      <w:r/>
    </w:p>
    <w:p>
      <w:pPr>
        <w:pStyle w:val="1070"/>
        <w:spacing w:line="360" w:lineRule="auto"/>
        <w:rPr>
          <w:rFonts w:ascii="宋体" w:hAnsi="宋体"/>
          <w:b/>
          <w:sz w:val="24"/>
          <w:szCs w:val="20"/>
        </w:rPr>
        <w:outlineLvl w:val="2"/>
      </w:pPr>
      <w:r>
        <w:rPr>
          <w:rFonts w:hint="eastAsia" w:ascii="宋体" w:hAnsi="宋体"/>
          <w:b/>
          <w:sz w:val="24"/>
        </w:rPr>
        <w:t xml:space="preserve">13</w:t>
      </w:r>
      <w:r>
        <w:rPr>
          <w:rFonts w:ascii="宋体" w:hAnsi="宋体"/>
          <w:b/>
          <w:sz w:val="24"/>
        </w:rPr>
        <w:t xml:space="preserve">  招标文件要求提供或投标人认为应附的其他材料</w:t>
      </w:r>
      <w:r>
        <w:rPr>
          <w:rFonts w:ascii="宋体" w:hAnsi="宋体"/>
          <w:b/>
          <w:sz w:val="24"/>
          <w:szCs w:val="20"/>
        </w:rPr>
      </w:r>
      <w:r/>
    </w:p>
    <w:p>
      <w:pPr>
        <w:pStyle w:val="1070"/>
        <w:jc w:val="left"/>
        <w:widowControl/>
        <w:rPr>
          <w:rFonts w:ascii="宋体" w:hAnsi="宋体"/>
          <w:b/>
          <w:sz w:val="36"/>
          <w:szCs w:val="36"/>
        </w:rPr>
      </w:pPr>
      <w:r>
        <w:rPr>
          <w:rFonts w:ascii="宋体" w:hAnsi="宋体"/>
          <w:b/>
          <w:sz w:val="36"/>
          <w:szCs w:val="36"/>
        </w:rPr>
      </w:r>
      <w:r/>
    </w:p>
    <w:p>
      <w:pPr>
        <w:pStyle w:val="1070"/>
        <w:jc w:val="left"/>
        <w:widowControl/>
        <w:rPr>
          <w:rFonts w:ascii="宋体" w:hAnsi="宋体"/>
          <w:b/>
          <w:sz w:val="36"/>
          <w:szCs w:val="36"/>
        </w:rPr>
      </w:pPr>
      <w:r>
        <w:rPr>
          <w:rFonts w:ascii="宋体" w:hAnsi="宋体"/>
          <w:b/>
          <w:sz w:val="36"/>
          <w:szCs w:val="36"/>
        </w:rPr>
      </w:r>
      <w:r/>
    </w:p>
    <w:p>
      <w:pPr>
        <w:pStyle w:val="1070"/>
        <w:rPr>
          <w:rFonts w:ascii="宋体" w:hAnsi="宋体"/>
          <w:sz w:val="36"/>
          <w:szCs w:val="36"/>
        </w:rPr>
      </w:pPr>
      <w:r>
        <w:rPr>
          <w:rFonts w:ascii="宋体" w:hAnsi="宋体"/>
          <w:sz w:val="36"/>
          <w:szCs w:val="36"/>
        </w:rPr>
      </w:r>
      <w:r/>
    </w:p>
    <w:p>
      <w:pPr>
        <w:pStyle w:val="1070"/>
        <w:rPr>
          <w:rFonts w:ascii="宋体" w:hAnsi="宋体"/>
          <w:sz w:val="36"/>
          <w:szCs w:val="36"/>
        </w:rPr>
      </w:pPr>
      <w:r>
        <w:rPr>
          <w:rFonts w:ascii="宋体" w:hAnsi="宋体"/>
          <w:sz w:val="36"/>
          <w:szCs w:val="36"/>
        </w:rPr>
      </w:r>
      <w:r/>
    </w:p>
    <w:p>
      <w:pPr>
        <w:pStyle w:val="1070"/>
        <w:rPr>
          <w:rFonts w:hint="eastAsia" w:ascii="宋体" w:hAnsi="宋体"/>
          <w:sz w:val="36"/>
          <w:szCs w:val="36"/>
        </w:rPr>
      </w:pPr>
      <w:r>
        <w:rPr>
          <w:rFonts w:hint="eastAsia" w:ascii="宋体" w:hAnsi="宋体"/>
          <w:sz w:val="36"/>
          <w:szCs w:val="36"/>
        </w:rPr>
      </w:r>
      <w:r/>
    </w:p>
    <w:p>
      <w:pPr>
        <w:pStyle w:val="1070"/>
        <w:rPr>
          <w:rFonts w:ascii="宋体" w:hAnsi="宋体"/>
          <w:sz w:val="36"/>
          <w:szCs w:val="36"/>
        </w:rPr>
      </w:pPr>
      <w:r>
        <w:rPr>
          <w:rFonts w:ascii="宋体" w:hAnsi="宋体"/>
          <w:sz w:val="36"/>
          <w:szCs w:val="36"/>
        </w:rPr>
      </w:r>
      <w:r/>
    </w:p>
    <w:p>
      <w:pPr>
        <w:pStyle w:val="1070"/>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0"/>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MingLiU">
    <w:panose1 w:val="02020500000000000000"/>
  </w:font>
  <w:font w:name="CESI黑体-GB2312">
    <w:panose1 w:val="020B0503020202020204"/>
  </w:font>
  <w:font w:name="等线">
    <w:panose1 w:val="02010600030101010101"/>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ind w:right="360"/>
      <w:rPr>
        <w:rStyle w:val="1143"/>
      </w:rPr>
      <w:framePr w:wrap="around" w:vAnchor="text" w:hAnchor="margin" w:y="1"/>
    </w:pPr>
    <w:r>
      <w:rPr>
        <w:rStyle w:val="1143"/>
      </w:rPr>
    </w:r>
    <w:r/>
  </w:p>
  <w:p>
    <w:pPr>
      <w:pStyle w:val="1119"/>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center" w:y="1"/>
    </w:pPr>
    <w:r>
      <w:fldChar w:fldCharType="begin"/>
    </w:r>
    <w:r>
      <w:rPr>
        <w:rStyle w:val="1143"/>
      </w:rPr>
      <w:instrText xml:space="preserve">PAGE  </w:instrText>
    </w:r>
    <w:r>
      <w:fldChar w:fldCharType="end"/>
    </w:r>
    <w:r>
      <w:rPr>
        <w:rStyle w:val="1143"/>
      </w:rPr>
    </w:r>
    <w:r/>
  </w:p>
  <w:p>
    <w:pPr>
      <w:pStyle w:val="111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r>
    <w:r/>
  </w:p>
  <w:p>
    <w:pPr>
      <w:pStyle w:val="1119"/>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rPr>
        <w:rStyle w:val="1143"/>
      </w:rPr>
      <w:framePr w:wrap="around" w:vAnchor="text" w:hAnchor="margin" w:xAlign="right" w:y="1"/>
    </w:pPr>
    <w:r>
      <w:rPr>
        <w:rStyle w:val="1143"/>
      </w:rPr>
      <w:fldChar w:fldCharType="begin"/>
    </w:r>
    <w:r>
      <w:rPr>
        <w:rStyle w:val="1143"/>
      </w:rPr>
      <w:instrText xml:space="preserve">PAGE  </w:instrText>
    </w:r>
    <w:r>
      <w:rPr>
        <w:rStyle w:val="1143"/>
      </w:rPr>
      <w:fldChar w:fldCharType="end"/>
    </w:r>
    <w:r>
      <w:rPr>
        <w:rStyle w:val="1143"/>
      </w:rPr>
    </w:r>
    <w:r/>
  </w:p>
  <w:p>
    <w:pPr>
      <w:pStyle w:val="1119"/>
      <w:ind w:right="360"/>
    </w:pPr>
    <w:r/>
    <w:r/>
  </w:p>
  <w:p>
    <w:pPr>
      <w:pStyle w:val="1070"/>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p>
    <w:pPr>
      <w:pStyle w:val="107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70"/>
        <w:ind w:left="4941" w:hanging="1140"/>
        <w:tabs>
          <w:tab w:val="num" w:pos="4941" w:leader="none"/>
        </w:tabs>
      </w:pPr>
      <w:rPr>
        <w:rFonts w:hint="eastAsia"/>
      </w:rPr>
    </w:lvl>
    <w:lvl w:ilvl="1">
      <w:start w:val="1"/>
      <w:numFmt w:val="lowerLetter"/>
      <w:isLgl w:val="false"/>
      <w:suff w:val="tab"/>
      <w:lvlText w:val="%2)"/>
      <w:lvlJc w:val="left"/>
      <w:pPr>
        <w:pStyle w:val="1070"/>
        <w:ind w:left="4641" w:hanging="420"/>
        <w:tabs>
          <w:tab w:val="num" w:pos="4641" w:leader="none"/>
        </w:tabs>
      </w:pPr>
    </w:lvl>
    <w:lvl w:ilvl="2">
      <w:start w:val="1"/>
      <w:numFmt w:val="lowerRoman"/>
      <w:isLgl w:val="false"/>
      <w:suff w:val="tab"/>
      <w:lvlText w:val="%3."/>
      <w:lvlJc w:val="right"/>
      <w:pPr>
        <w:pStyle w:val="1070"/>
        <w:ind w:left="5061" w:hanging="420"/>
        <w:tabs>
          <w:tab w:val="num" w:pos="5061" w:leader="none"/>
        </w:tabs>
      </w:pPr>
    </w:lvl>
    <w:lvl w:ilvl="3">
      <w:start w:val="1"/>
      <w:numFmt w:val="decimal"/>
      <w:isLgl w:val="false"/>
      <w:suff w:val="tab"/>
      <w:lvlText w:val="%4."/>
      <w:lvlJc w:val="left"/>
      <w:pPr>
        <w:pStyle w:val="1070"/>
        <w:ind w:left="5481" w:hanging="420"/>
        <w:tabs>
          <w:tab w:val="num" w:pos="5481" w:leader="none"/>
        </w:tabs>
      </w:pPr>
    </w:lvl>
    <w:lvl w:ilvl="4">
      <w:start w:val="1"/>
      <w:numFmt w:val="lowerLetter"/>
      <w:isLgl w:val="false"/>
      <w:suff w:val="tab"/>
      <w:lvlText w:val="%5)"/>
      <w:lvlJc w:val="left"/>
      <w:pPr>
        <w:pStyle w:val="1070"/>
        <w:ind w:left="5901" w:hanging="420"/>
        <w:tabs>
          <w:tab w:val="num" w:pos="5901" w:leader="none"/>
        </w:tabs>
      </w:pPr>
    </w:lvl>
    <w:lvl w:ilvl="5">
      <w:start w:val="1"/>
      <w:numFmt w:val="lowerRoman"/>
      <w:isLgl w:val="false"/>
      <w:suff w:val="tab"/>
      <w:lvlText w:val="%6."/>
      <w:lvlJc w:val="right"/>
      <w:pPr>
        <w:pStyle w:val="1070"/>
        <w:ind w:left="6321" w:hanging="420"/>
        <w:tabs>
          <w:tab w:val="num" w:pos="6321" w:leader="none"/>
        </w:tabs>
      </w:pPr>
    </w:lvl>
    <w:lvl w:ilvl="6">
      <w:start w:val="1"/>
      <w:numFmt w:val="decimal"/>
      <w:isLgl w:val="false"/>
      <w:suff w:val="tab"/>
      <w:lvlText w:val="%7."/>
      <w:lvlJc w:val="left"/>
      <w:pPr>
        <w:pStyle w:val="1070"/>
        <w:ind w:left="6741" w:hanging="420"/>
        <w:tabs>
          <w:tab w:val="num" w:pos="6741" w:leader="none"/>
        </w:tabs>
      </w:pPr>
    </w:lvl>
    <w:lvl w:ilvl="7">
      <w:start w:val="1"/>
      <w:numFmt w:val="lowerLetter"/>
      <w:isLgl w:val="false"/>
      <w:suff w:val="tab"/>
      <w:lvlText w:val="%8)"/>
      <w:lvlJc w:val="left"/>
      <w:pPr>
        <w:pStyle w:val="1070"/>
        <w:ind w:left="7161" w:hanging="420"/>
        <w:tabs>
          <w:tab w:val="num" w:pos="7161" w:leader="none"/>
        </w:tabs>
      </w:pPr>
    </w:lvl>
    <w:lvl w:ilvl="8">
      <w:start w:val="1"/>
      <w:numFmt w:val="lowerRoman"/>
      <w:isLgl w:val="false"/>
      <w:suff w:val="tab"/>
      <w:lvlText w:val="%9."/>
      <w:lvlJc w:val="right"/>
      <w:pPr>
        <w:pStyle w:val="1070"/>
        <w:ind w:left="7581" w:hanging="420"/>
        <w:tabs>
          <w:tab w:val="num" w:pos="7581" w:leader="none"/>
        </w:tabs>
      </w:pPr>
    </w:lvl>
  </w:abstractNum>
  <w:abstractNum w:abstractNumId="1">
    <w:multiLevelType w:val="hybridMultilevel"/>
    <w:lvl w:ilvl="0">
      <w:start w:val="1"/>
      <w:numFmt w:val="decimal"/>
      <w:pStyle w:val="1179"/>
      <w:isLgl w:val="false"/>
      <w:suff w:val="tab"/>
      <w:lvlText w:val="%1."/>
      <w:lvlJc w:val="left"/>
      <w:pPr>
        <w:pStyle w:val="1070"/>
        <w:ind w:left="420" w:hanging="420"/>
      </w:pPr>
    </w:lvl>
    <w:lvl w:ilvl="1">
      <w:start w:val="1"/>
      <w:numFmt w:val="decimal"/>
      <w:isLgl w:val="false"/>
      <w:suff w:val="tab"/>
      <w:lvlText w:val="（%2）"/>
      <w:lvlJc w:val="left"/>
      <w:pPr>
        <w:pStyle w:val="1070"/>
        <w:ind w:left="1140" w:hanging="720"/>
        <w:tabs>
          <w:tab w:val="num" w:pos="1140" w:leader="none"/>
        </w:tabs>
      </w:pPr>
      <w:rPr>
        <w:rFonts w:hint="eastAsia"/>
      </w:r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2">
    <w:multiLevelType w:val="hybridMultilevel"/>
    <w:lvl w:ilvl="0">
      <w:start w:val="1"/>
      <w:numFmt w:val="lowerLetter"/>
      <w:pStyle w:val="1254"/>
      <w:isLgl w:val="false"/>
      <w:suff w:val="tab"/>
      <w:lvlText w:val="%1)"/>
      <w:lvlJc w:val="left"/>
      <w:pPr>
        <w:pStyle w:val="1070"/>
        <w:ind w:left="902" w:hanging="420"/>
      </w:pPr>
      <w:rPr>
        <w:color w:val="000000"/>
      </w:rPr>
    </w:lvl>
    <w:lvl w:ilvl="1">
      <w:start w:val="1"/>
      <w:numFmt w:val="lowerLetter"/>
      <w:isLgl w:val="false"/>
      <w:suff w:val="tab"/>
      <w:lvlText w:val="%2)"/>
      <w:lvlJc w:val="left"/>
      <w:pPr>
        <w:pStyle w:val="1070"/>
        <w:ind w:left="1322" w:hanging="420"/>
      </w:pPr>
    </w:lvl>
    <w:lvl w:ilvl="2">
      <w:start w:val="1"/>
      <w:numFmt w:val="lowerRoman"/>
      <w:isLgl w:val="false"/>
      <w:suff w:val="tab"/>
      <w:lvlText w:val="%3."/>
      <w:lvlJc w:val="right"/>
      <w:pPr>
        <w:pStyle w:val="1070"/>
        <w:ind w:left="1742" w:hanging="420"/>
      </w:pPr>
    </w:lvl>
    <w:lvl w:ilvl="3">
      <w:start w:val="1"/>
      <w:numFmt w:val="decimal"/>
      <w:isLgl w:val="false"/>
      <w:suff w:val="tab"/>
      <w:lvlText w:val="%4."/>
      <w:lvlJc w:val="left"/>
      <w:pPr>
        <w:pStyle w:val="1070"/>
        <w:ind w:left="2162" w:hanging="420"/>
      </w:pPr>
    </w:lvl>
    <w:lvl w:ilvl="4">
      <w:start w:val="1"/>
      <w:numFmt w:val="lowerLetter"/>
      <w:isLgl w:val="false"/>
      <w:suff w:val="tab"/>
      <w:lvlText w:val="%5)"/>
      <w:lvlJc w:val="left"/>
      <w:pPr>
        <w:pStyle w:val="1070"/>
        <w:ind w:left="2582" w:hanging="420"/>
      </w:pPr>
    </w:lvl>
    <w:lvl w:ilvl="5">
      <w:start w:val="1"/>
      <w:numFmt w:val="lowerRoman"/>
      <w:isLgl w:val="false"/>
      <w:suff w:val="tab"/>
      <w:lvlText w:val="%6."/>
      <w:lvlJc w:val="right"/>
      <w:pPr>
        <w:pStyle w:val="1070"/>
        <w:ind w:left="3002" w:hanging="420"/>
      </w:pPr>
    </w:lvl>
    <w:lvl w:ilvl="6">
      <w:start w:val="1"/>
      <w:numFmt w:val="decimal"/>
      <w:isLgl w:val="false"/>
      <w:suff w:val="tab"/>
      <w:lvlText w:val="%7."/>
      <w:lvlJc w:val="left"/>
      <w:pPr>
        <w:pStyle w:val="1070"/>
        <w:ind w:left="3422" w:hanging="420"/>
      </w:pPr>
    </w:lvl>
    <w:lvl w:ilvl="7">
      <w:start w:val="1"/>
      <w:numFmt w:val="lowerLetter"/>
      <w:isLgl w:val="false"/>
      <w:suff w:val="tab"/>
      <w:lvlText w:val="%8)"/>
      <w:lvlJc w:val="left"/>
      <w:pPr>
        <w:pStyle w:val="1070"/>
        <w:ind w:left="3842" w:hanging="420"/>
      </w:pPr>
    </w:lvl>
    <w:lvl w:ilvl="8">
      <w:start w:val="1"/>
      <w:numFmt w:val="lowerRoman"/>
      <w:isLgl w:val="false"/>
      <w:suff w:val="tab"/>
      <w:lvlText w:val="%9."/>
      <w:lvlJc w:val="right"/>
      <w:pPr>
        <w:pStyle w:val="1070"/>
        <w:ind w:left="4262" w:hanging="420"/>
      </w:pPr>
    </w:lvl>
  </w:abstractNum>
  <w:abstractNum w:abstractNumId="3">
    <w:multiLevelType w:val="hybridMultilevel"/>
    <w:lvl w:ilvl="0">
      <w:start w:val="1"/>
      <w:numFmt w:val="decimal"/>
      <w:pStyle w:val="1224"/>
      <w:isLgl w:val="false"/>
      <w:suff w:val="tab"/>
      <w:lvlText w:val="%1."/>
      <w:lvlJc w:val="left"/>
      <w:pPr>
        <w:pStyle w:val="1070"/>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73"/>
      <w:isLgl w:val="false"/>
      <w:suff w:val="nothing"/>
      <w:lvlText w:val="%1　"/>
      <w:lvlJc w:val="left"/>
      <w:pPr>
        <w:pStyle w:val="1070"/>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0"/>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0"/>
        <w:ind w:left="-25" w:firstLine="0"/>
      </w:pPr>
      <w:rPr>
        <w:rFonts w:ascii="Times New Roman" w:hAnsi="Times New Roman" w:eastAsia="黑体"/>
        <w:b/>
        <w:i w:val="0"/>
        <w:sz w:val="28"/>
      </w:rPr>
    </w:lvl>
    <w:lvl w:ilvl="3">
      <w:start w:val="1"/>
      <w:numFmt w:val="decimal"/>
      <w:pStyle w:val="1209"/>
      <w:isLgl w:val="false"/>
      <w:suff w:val="nothing"/>
      <w:lvlText w:val="%1.%2.%3.%4　"/>
      <w:lvlJc w:val="left"/>
      <w:pPr>
        <w:pStyle w:val="1070"/>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0"/>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0"/>
        <w:ind w:left="-25" w:firstLine="0"/>
      </w:pPr>
      <w:rPr>
        <w:rFonts w:ascii="Times New Roman" w:hAnsi="Times New Roman" w:eastAsia="宋体"/>
        <w:b/>
        <w:i w:val="0"/>
        <w:sz w:val="28"/>
      </w:rPr>
    </w:lvl>
    <w:lvl w:ilvl="6">
      <w:start w:val="1"/>
      <w:numFmt w:val="lowerLetter"/>
      <w:pStyle w:val="1230"/>
      <w:isLgl w:val="false"/>
      <w:suff w:val="tab"/>
      <w:lvlText w:val="%7) "/>
      <w:lvlJc w:val="left"/>
      <w:pPr>
        <w:pStyle w:val="1070"/>
        <w:ind w:left="-125" w:firstLine="400"/>
        <w:tabs>
          <w:tab w:val="num" w:pos="635" w:leader="none"/>
        </w:tabs>
      </w:pPr>
      <w:rPr>
        <w:rFonts w:ascii="Times New Roman" w:hAnsi="Times New Roman" w:eastAsia="宋体"/>
        <w:b/>
        <w:i w:val="0"/>
        <w:color w:val="000000"/>
        <w:sz w:val="28"/>
        <w:u w:val="none"/>
      </w:rPr>
    </w:lvl>
    <w:lvl w:ilvl="7">
      <w:start w:val="1"/>
      <w:numFmt w:val="decimal"/>
      <w:pStyle w:val="1193"/>
      <w:isLgl w:val="false"/>
      <w:suff w:val="tab"/>
      <w:lvlText w:val="%8) "/>
      <w:lvlJc w:val="left"/>
      <w:pPr>
        <w:pStyle w:val="1070"/>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0"/>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70"/>
        <w:ind w:left="768" w:hanging="360"/>
        <w:tabs>
          <w:tab w:val="num" w:pos="768" w:leader="none"/>
        </w:tabs>
      </w:pPr>
      <w:rPr>
        <w:rFonts w:hint="eastAsia"/>
      </w:rPr>
    </w:lvl>
    <w:lvl w:ilvl="1">
      <w:start w:val="1"/>
      <w:numFmt w:val="decimal"/>
      <w:pStyle w:val="1211"/>
      <w:isLgl w:val="false"/>
      <w:suff w:val="tab"/>
      <w:lvlText w:val="%2、"/>
      <w:lvlJc w:val="left"/>
      <w:pPr>
        <w:pStyle w:val="1070"/>
        <w:ind w:left="1188" w:hanging="360"/>
        <w:tabs>
          <w:tab w:val="num" w:pos="1188" w:leader="none"/>
        </w:tabs>
      </w:pPr>
      <w:rPr>
        <w:rFonts w:hint="eastAsia"/>
      </w:rPr>
    </w:lvl>
    <w:lvl w:ilvl="2">
      <w:start w:val="1"/>
      <w:numFmt w:val="decimal"/>
      <w:isLgl w:val="false"/>
      <w:suff w:val="tab"/>
      <w:lvlText w:val="（%3）"/>
      <w:lvlJc w:val="left"/>
      <w:pPr>
        <w:pStyle w:val="1070"/>
        <w:ind w:left="1968" w:hanging="720"/>
        <w:tabs>
          <w:tab w:val="num" w:pos="1968" w:leader="none"/>
        </w:tabs>
      </w:pPr>
      <w:rPr>
        <w:rFonts w:hint="eastAsia"/>
        <w:u w:val="none"/>
      </w:rPr>
    </w:lvl>
    <w:lvl w:ilvl="3">
      <w:start w:val="1"/>
      <w:numFmt w:val="decimal"/>
      <w:isLgl w:val="false"/>
      <w:suff w:val="tab"/>
      <w:lvlText w:val="%4."/>
      <w:lvlJc w:val="left"/>
      <w:pPr>
        <w:pStyle w:val="1070"/>
        <w:ind w:left="2088" w:hanging="420"/>
        <w:tabs>
          <w:tab w:val="num" w:pos="2088" w:leader="none"/>
        </w:tabs>
      </w:pPr>
    </w:lvl>
    <w:lvl w:ilvl="4">
      <w:start w:val="1"/>
      <w:numFmt w:val="lowerLetter"/>
      <w:isLgl w:val="false"/>
      <w:suff w:val="tab"/>
      <w:lvlText w:val="%5)"/>
      <w:lvlJc w:val="left"/>
      <w:pPr>
        <w:pStyle w:val="1070"/>
        <w:ind w:left="2508" w:hanging="420"/>
        <w:tabs>
          <w:tab w:val="num" w:pos="2508" w:leader="none"/>
        </w:tabs>
      </w:pPr>
    </w:lvl>
    <w:lvl w:ilvl="5">
      <w:start w:val="1"/>
      <w:numFmt w:val="lowerRoman"/>
      <w:isLgl w:val="false"/>
      <w:suff w:val="tab"/>
      <w:lvlText w:val="%6."/>
      <w:lvlJc w:val="right"/>
      <w:pPr>
        <w:pStyle w:val="1070"/>
        <w:ind w:left="2928" w:hanging="420"/>
        <w:tabs>
          <w:tab w:val="num" w:pos="2928" w:leader="none"/>
        </w:tabs>
      </w:pPr>
    </w:lvl>
    <w:lvl w:ilvl="6">
      <w:start w:val="1"/>
      <w:numFmt w:val="decimal"/>
      <w:isLgl w:val="false"/>
      <w:suff w:val="tab"/>
      <w:lvlText w:val="%7."/>
      <w:lvlJc w:val="left"/>
      <w:pPr>
        <w:pStyle w:val="1070"/>
        <w:ind w:left="3348" w:hanging="420"/>
        <w:tabs>
          <w:tab w:val="num" w:pos="3348" w:leader="none"/>
        </w:tabs>
      </w:pPr>
    </w:lvl>
    <w:lvl w:ilvl="7">
      <w:start w:val="1"/>
      <w:numFmt w:val="lowerLetter"/>
      <w:isLgl w:val="false"/>
      <w:suff w:val="tab"/>
      <w:lvlText w:val="%8)"/>
      <w:lvlJc w:val="left"/>
      <w:pPr>
        <w:pStyle w:val="1070"/>
        <w:ind w:left="3768" w:hanging="420"/>
        <w:tabs>
          <w:tab w:val="num" w:pos="3768" w:leader="none"/>
        </w:tabs>
      </w:pPr>
    </w:lvl>
    <w:lvl w:ilvl="8">
      <w:start w:val="1"/>
      <w:numFmt w:val="lowerRoman"/>
      <w:isLgl w:val="false"/>
      <w:suff w:val="tab"/>
      <w:lvlText w:val="%9."/>
      <w:lvlJc w:val="right"/>
      <w:pPr>
        <w:pStyle w:val="1070"/>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70"/>
        <w:ind w:left="900" w:hanging="900"/>
        <w:tabs>
          <w:tab w:val="num" w:pos="900" w:leader="none"/>
        </w:tabs>
      </w:pPr>
      <w:rPr>
        <w:rFonts w:hint="eastAsia"/>
        <w:b/>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7">
    <w:multiLevelType w:val="hybridMultilevel"/>
    <w:lvl w:ilvl="0">
      <w:start w:val="1"/>
      <w:numFmt w:val="decimal"/>
      <w:pStyle w:val="1178"/>
      <w:isLgl w:val="false"/>
      <w:suff w:val="tab"/>
      <w:lvlText w:val="%1)"/>
      <w:lvlJc w:val="left"/>
      <w:pPr>
        <w:pStyle w:val="1070"/>
        <w:ind w:left="420" w:hanging="420"/>
      </w:p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8">
    <w:multiLevelType w:val="hybridMultilevel"/>
    <w:lvl w:ilvl="0">
      <w:start w:val="1"/>
      <w:numFmt w:val="decimal"/>
      <w:pStyle w:val="1279"/>
      <w:isLgl w:val="false"/>
      <w:suff w:val="tab"/>
      <w:lvlText w:val="%1"/>
      <w:lvlJc w:val="left"/>
      <w:pPr>
        <w:pStyle w:val="1070"/>
        <w:ind w:left="680" w:hanging="680"/>
      </w:pPr>
      <w:rPr>
        <w:rFonts w:hint="eastAsia" w:ascii="宋体" w:hAnsi="宋体" w:eastAsia="宋体"/>
      </w:rPr>
    </w:lvl>
    <w:lvl w:ilvl="1">
      <w:start w:val="1"/>
      <w:numFmt w:val="decimal"/>
      <w:pStyle w:val="1280"/>
      <w:isLgl w:val="false"/>
      <w:suff w:val="tab"/>
      <w:lvlText w:val="%1.%2"/>
      <w:lvlJc w:val="left"/>
      <w:pPr>
        <w:pStyle w:val="1070"/>
        <w:ind w:left="851" w:hanging="851"/>
      </w:pPr>
      <w:rPr>
        <w:rFonts w:hint="eastAsia" w:ascii="宋体" w:hAnsi="宋体" w:eastAsia="宋体"/>
        <w:color w:val="000000"/>
      </w:rPr>
    </w:lvl>
    <w:lvl w:ilvl="2">
      <w:start w:val="1"/>
      <w:numFmt w:val="decimal"/>
      <w:pStyle w:val="1281"/>
      <w:isLgl w:val="false"/>
      <w:suff w:val="tab"/>
      <w:lvlText w:val="%1.%2.%3"/>
      <w:lvlJc w:val="left"/>
      <w:pPr>
        <w:pStyle w:val="1070"/>
        <w:ind w:left="851" w:hanging="851"/>
      </w:pPr>
      <w:rPr>
        <w:rFonts w:hint="eastAsia"/>
      </w:rPr>
    </w:lvl>
    <w:lvl w:ilvl="3">
      <w:start w:val="1"/>
      <w:numFmt w:val="decimal"/>
      <w:isLgl w:val="false"/>
      <w:suff w:val="tab"/>
      <w:lvlText w:val="%1.%2.%3.%4"/>
      <w:lvlJc w:val="left"/>
      <w:pPr>
        <w:pStyle w:val="1070"/>
        <w:ind w:left="680" w:hanging="680"/>
      </w:pPr>
      <w:rPr>
        <w:rFonts w:hint="eastAsia"/>
      </w:rPr>
    </w:lvl>
    <w:lvl w:ilvl="4">
      <w:start w:val="1"/>
      <w:numFmt w:val="decimal"/>
      <w:isLgl w:val="false"/>
      <w:suff w:val="tab"/>
      <w:lvlText w:val="%1.%2.%3.%4.%5"/>
      <w:lvlJc w:val="left"/>
      <w:pPr>
        <w:pStyle w:val="1070"/>
        <w:ind w:left="680" w:hanging="680"/>
      </w:pPr>
      <w:rPr>
        <w:rFonts w:hint="eastAsia"/>
      </w:rPr>
    </w:lvl>
    <w:lvl w:ilvl="5">
      <w:start w:val="1"/>
      <w:numFmt w:val="decimal"/>
      <w:isLgl w:val="false"/>
      <w:suff w:val="tab"/>
      <w:lvlText w:val="%1.%2.%3.%4.%5.%6"/>
      <w:lvlJc w:val="left"/>
      <w:pPr>
        <w:pStyle w:val="1070"/>
        <w:ind w:left="680" w:hanging="680"/>
      </w:pPr>
      <w:rPr>
        <w:rFonts w:hint="eastAsia"/>
      </w:rPr>
    </w:lvl>
    <w:lvl w:ilvl="6">
      <w:start w:val="1"/>
      <w:numFmt w:val="decimal"/>
      <w:isLgl w:val="false"/>
      <w:suff w:val="tab"/>
      <w:lvlText w:val="%1.%2.%3.%4.%5.%6.%7"/>
      <w:lvlJc w:val="left"/>
      <w:pPr>
        <w:pStyle w:val="1070"/>
        <w:ind w:left="680" w:hanging="680"/>
      </w:pPr>
      <w:rPr>
        <w:rFonts w:hint="eastAsia"/>
      </w:rPr>
    </w:lvl>
    <w:lvl w:ilvl="7">
      <w:start w:val="1"/>
      <w:numFmt w:val="decimal"/>
      <w:isLgl w:val="false"/>
      <w:suff w:val="tab"/>
      <w:lvlText w:val="%1.%2.%3.%4.%5.%6.%7.%8"/>
      <w:lvlJc w:val="left"/>
      <w:pPr>
        <w:pStyle w:val="1070"/>
        <w:ind w:left="680" w:hanging="680"/>
      </w:pPr>
      <w:rPr>
        <w:rFonts w:hint="eastAsia"/>
      </w:rPr>
    </w:lvl>
    <w:lvl w:ilvl="8">
      <w:start w:val="1"/>
      <w:numFmt w:val="decimal"/>
      <w:isLgl w:val="false"/>
      <w:suff w:val="tab"/>
      <w:lvlText w:val="%1.%2.%3.%4.%5.%6.%7.%8.%9"/>
      <w:lvlJc w:val="left"/>
      <w:pPr>
        <w:pStyle w:val="1070"/>
        <w:ind w:left="680" w:hanging="680"/>
      </w:pPr>
      <w:rPr>
        <w:rFonts w:hint="eastAsia"/>
      </w:rPr>
    </w:lvl>
  </w:abstractNum>
  <w:abstractNum w:abstractNumId="9">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0"/>
        <w:ind w:left="205" w:hanging="322"/>
      </w:pPr>
      <w:rPr>
        <w:rFonts w:ascii="仿宋" w:hAnsi="仿宋" w:eastAsia="仿宋" w:cs="仿宋"/>
        <w:spacing w:val="-46"/>
        <w:sz w:val="30"/>
        <w:szCs w:val="30"/>
      </w:rPr>
    </w:lvl>
    <w:lvl w:ilvl="1">
      <w:start w:val="1"/>
      <w:numFmt w:val="lowerLetter"/>
      <w:isLgl w:val="false"/>
      <w:suff w:val="tab"/>
      <w:lvlText w:val="%2)"/>
      <w:lvlJc w:val="left"/>
      <w:pPr>
        <w:pStyle w:val="1070"/>
        <w:ind w:left="840" w:hanging="420"/>
      </w:pPr>
    </w:lvl>
    <w:lvl w:ilvl="2">
      <w:start w:val="1"/>
      <w:numFmt w:val="lowerRoman"/>
      <w:isLgl w:val="false"/>
      <w:suff w:val="tab"/>
      <w:lvlText w:val="%3."/>
      <w:lvlJc w:val="right"/>
      <w:pPr>
        <w:pStyle w:val="1070"/>
        <w:ind w:left="1260" w:hanging="420"/>
      </w:pPr>
    </w:lvl>
    <w:lvl w:ilvl="3">
      <w:start w:val="1"/>
      <w:numFmt w:val="decimal"/>
      <w:isLgl w:val="false"/>
      <w:suff w:val="tab"/>
      <w:lvlText w:val="%4."/>
      <w:lvlJc w:val="left"/>
      <w:pPr>
        <w:pStyle w:val="1070"/>
        <w:ind w:left="1680" w:hanging="420"/>
      </w:pPr>
    </w:lvl>
    <w:lvl w:ilvl="4">
      <w:start w:val="1"/>
      <w:numFmt w:val="lowerLetter"/>
      <w:isLgl w:val="false"/>
      <w:suff w:val="tab"/>
      <w:lvlText w:val="%5)"/>
      <w:lvlJc w:val="left"/>
      <w:pPr>
        <w:pStyle w:val="1070"/>
        <w:ind w:left="2100" w:hanging="420"/>
      </w:pPr>
    </w:lvl>
    <w:lvl w:ilvl="5">
      <w:start w:val="1"/>
      <w:numFmt w:val="lowerRoman"/>
      <w:isLgl w:val="false"/>
      <w:suff w:val="tab"/>
      <w:lvlText w:val="%6."/>
      <w:lvlJc w:val="right"/>
      <w:pPr>
        <w:pStyle w:val="1070"/>
        <w:ind w:left="2520" w:hanging="420"/>
      </w:pPr>
    </w:lvl>
    <w:lvl w:ilvl="6">
      <w:start w:val="1"/>
      <w:numFmt w:val="decimal"/>
      <w:isLgl w:val="false"/>
      <w:suff w:val="tab"/>
      <w:lvlText w:val="%7."/>
      <w:lvlJc w:val="left"/>
      <w:pPr>
        <w:pStyle w:val="1070"/>
        <w:ind w:left="2940" w:hanging="420"/>
      </w:pPr>
    </w:lvl>
    <w:lvl w:ilvl="7">
      <w:start w:val="1"/>
      <w:numFmt w:val="lowerLetter"/>
      <w:isLgl w:val="false"/>
      <w:suff w:val="tab"/>
      <w:lvlText w:val="%8)"/>
      <w:lvlJc w:val="left"/>
      <w:pPr>
        <w:pStyle w:val="1070"/>
        <w:ind w:left="3360" w:hanging="420"/>
      </w:pPr>
    </w:lvl>
    <w:lvl w:ilvl="8">
      <w:start w:val="1"/>
      <w:numFmt w:val="lowerRoman"/>
      <w:isLgl w:val="false"/>
      <w:suff w:val="tab"/>
      <w:lvlText w:val="%9."/>
      <w:lvlJc w:val="right"/>
      <w:pPr>
        <w:pStyle w:val="1070"/>
        <w:ind w:left="3780" w:hanging="420"/>
      </w:pPr>
    </w:lvl>
  </w:abstractNum>
  <w:abstractNum w:abstractNumId="13">
    <w:multiLevelType w:val="hybridMultilevel"/>
    <w:lvl w:ilvl="0">
      <w:start w:val="1"/>
      <w:numFmt w:val="decimal"/>
      <w:isLgl w:val="false"/>
      <w:suff w:val="tab"/>
      <w:lvlText w:val="%1"/>
      <w:lvlJc w:val="left"/>
      <w:pPr>
        <w:pStyle w:val="1070"/>
        <w:ind w:left="900" w:hanging="900"/>
        <w:tabs>
          <w:tab w:val="num" w:pos="900" w:leader="none"/>
        </w:tabs>
      </w:pPr>
      <w:rPr>
        <w:rFonts w:hint="eastAsia"/>
      </w:rPr>
    </w:lvl>
    <w:lvl w:ilvl="1">
      <w:start w:val="1"/>
      <w:numFmt w:val="decimal"/>
      <w:isLgl w:val="false"/>
      <w:suff w:val="tab"/>
      <w:lvlText w:val="%1.%2"/>
      <w:lvlJc w:val="left"/>
      <w:pPr>
        <w:pStyle w:val="1070"/>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0"/>
        <w:ind w:left="1980" w:hanging="900"/>
        <w:tabs>
          <w:tab w:val="num" w:pos="1980" w:leader="none"/>
        </w:tabs>
      </w:pPr>
      <w:rPr>
        <w:rFonts w:hint="eastAsia"/>
      </w:rPr>
    </w:lvl>
    <w:lvl w:ilvl="3">
      <w:start w:val="1"/>
      <w:numFmt w:val="decimal"/>
      <w:isLgl w:val="false"/>
      <w:suff w:val="tab"/>
      <w:lvlText w:val="%1.%2.%3.%4"/>
      <w:lvlJc w:val="left"/>
      <w:pPr>
        <w:pStyle w:val="1070"/>
        <w:ind w:left="900" w:hanging="900"/>
        <w:tabs>
          <w:tab w:val="num" w:pos="900" w:leader="none"/>
        </w:tabs>
      </w:pPr>
      <w:rPr>
        <w:rFonts w:hint="eastAsia"/>
      </w:rPr>
    </w:lvl>
    <w:lvl w:ilvl="4">
      <w:start w:val="1"/>
      <w:numFmt w:val="decimal"/>
      <w:isLgl w:val="false"/>
      <w:suff w:val="tab"/>
      <w:lvlText w:val="%1.%2.%3.%4.%5"/>
      <w:lvlJc w:val="left"/>
      <w:pPr>
        <w:pStyle w:val="1070"/>
        <w:ind w:left="900" w:hanging="900"/>
        <w:tabs>
          <w:tab w:val="num" w:pos="900" w:leader="none"/>
        </w:tabs>
      </w:pPr>
      <w:rPr>
        <w:rFonts w:hint="eastAsia"/>
      </w:rPr>
    </w:lvl>
    <w:lvl w:ilvl="5">
      <w:start w:val="1"/>
      <w:numFmt w:val="decimal"/>
      <w:isLgl w:val="false"/>
      <w:suff w:val="tab"/>
      <w:lvlText w:val="%1.%2.%3.%4.%5.%6"/>
      <w:lvlJc w:val="left"/>
      <w:pPr>
        <w:pStyle w:val="1070"/>
        <w:ind w:left="900" w:hanging="900"/>
        <w:tabs>
          <w:tab w:val="num" w:pos="900" w:leader="none"/>
        </w:tabs>
      </w:pPr>
      <w:rPr>
        <w:rFonts w:hint="eastAsia"/>
      </w:rPr>
    </w:lvl>
    <w:lvl w:ilvl="6">
      <w:start w:val="1"/>
      <w:numFmt w:val="decimal"/>
      <w:isLgl w:val="false"/>
      <w:suff w:val="tab"/>
      <w:lvlText w:val="%1.%2.%3.%4.%5.%6.%7"/>
      <w:lvlJc w:val="left"/>
      <w:pPr>
        <w:pStyle w:val="1070"/>
        <w:ind w:left="900" w:hanging="900"/>
        <w:tabs>
          <w:tab w:val="num" w:pos="900" w:leader="none"/>
        </w:tabs>
      </w:pPr>
      <w:rPr>
        <w:rFonts w:hint="eastAsia"/>
      </w:rPr>
    </w:lvl>
    <w:lvl w:ilvl="7">
      <w:start w:val="1"/>
      <w:numFmt w:val="decimal"/>
      <w:isLgl w:val="false"/>
      <w:suff w:val="tab"/>
      <w:lvlText w:val="%1.%2.%3.%4.%5.%6.%7.%8"/>
      <w:lvlJc w:val="left"/>
      <w:pPr>
        <w:pStyle w:val="1070"/>
        <w:ind w:left="900" w:hanging="900"/>
        <w:tabs>
          <w:tab w:val="num" w:pos="900" w:leader="none"/>
        </w:tabs>
      </w:pPr>
      <w:rPr>
        <w:rFonts w:hint="eastAsia"/>
      </w:rPr>
    </w:lvl>
    <w:lvl w:ilvl="8">
      <w:start w:val="1"/>
      <w:numFmt w:val="decimal"/>
      <w:isLgl w:val="false"/>
      <w:suff w:val="tab"/>
      <w:lvlText w:val="%1.%2.%3.%4.%5.%6.%7.%8.%9"/>
      <w:lvlJc w:val="left"/>
      <w:pPr>
        <w:pStyle w:val="1070"/>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2">
    <w:name w:val="Heading 1"/>
    <w:basedOn w:val="1070"/>
    <w:next w:val="1070"/>
    <w:link w:val="893"/>
    <w:uiPriority w:val="9"/>
    <w:qFormat/>
    <w:pPr>
      <w:keepLines/>
      <w:keepNext/>
      <w:spacing w:before="480" w:after="200"/>
      <w:outlineLvl w:val="0"/>
    </w:pPr>
    <w:rPr>
      <w:rFonts w:ascii="Arial" w:hAnsi="Arial" w:eastAsia="Arial" w:cs="Arial"/>
      <w:sz w:val="40"/>
      <w:szCs w:val="40"/>
    </w:rPr>
  </w:style>
  <w:style w:type="character" w:styleId="893">
    <w:name w:val="Heading 1 Char"/>
    <w:link w:val="892"/>
    <w:uiPriority w:val="9"/>
    <w:rPr>
      <w:rFonts w:ascii="Arial" w:hAnsi="Arial" w:eastAsia="Arial" w:cs="Arial"/>
      <w:sz w:val="40"/>
      <w:szCs w:val="40"/>
    </w:rPr>
  </w:style>
  <w:style w:type="paragraph" w:styleId="894">
    <w:name w:val="Heading 2"/>
    <w:basedOn w:val="1070"/>
    <w:next w:val="1070"/>
    <w:link w:val="895"/>
    <w:uiPriority w:val="9"/>
    <w:unhideWhenUsed/>
    <w:qFormat/>
    <w:pPr>
      <w:keepLines/>
      <w:keepNext/>
      <w:spacing w:before="360" w:after="200"/>
      <w:outlineLvl w:val="1"/>
    </w:pPr>
    <w:rPr>
      <w:rFonts w:ascii="Arial" w:hAnsi="Arial" w:eastAsia="Arial" w:cs="Arial"/>
      <w:sz w:val="34"/>
    </w:rPr>
  </w:style>
  <w:style w:type="character" w:styleId="895">
    <w:name w:val="Heading 2 Char"/>
    <w:link w:val="894"/>
    <w:uiPriority w:val="9"/>
    <w:rPr>
      <w:rFonts w:ascii="Arial" w:hAnsi="Arial" w:eastAsia="Arial" w:cs="Arial"/>
      <w:sz w:val="34"/>
    </w:rPr>
  </w:style>
  <w:style w:type="paragraph" w:styleId="896">
    <w:name w:val="Heading 3"/>
    <w:basedOn w:val="1070"/>
    <w:next w:val="1070"/>
    <w:link w:val="897"/>
    <w:uiPriority w:val="9"/>
    <w:unhideWhenUsed/>
    <w:qFormat/>
    <w:pPr>
      <w:keepLines/>
      <w:keepNext/>
      <w:spacing w:before="320" w:after="200"/>
      <w:outlineLvl w:val="2"/>
    </w:pPr>
    <w:rPr>
      <w:rFonts w:ascii="Arial" w:hAnsi="Arial" w:eastAsia="Arial" w:cs="Arial"/>
      <w:sz w:val="30"/>
      <w:szCs w:val="30"/>
    </w:rPr>
  </w:style>
  <w:style w:type="character" w:styleId="897">
    <w:name w:val="Heading 3 Char"/>
    <w:link w:val="896"/>
    <w:uiPriority w:val="9"/>
    <w:rPr>
      <w:rFonts w:ascii="Arial" w:hAnsi="Arial" w:eastAsia="Arial" w:cs="Arial"/>
      <w:sz w:val="30"/>
      <w:szCs w:val="30"/>
    </w:rPr>
  </w:style>
  <w:style w:type="paragraph" w:styleId="898">
    <w:name w:val="Heading 4"/>
    <w:basedOn w:val="1070"/>
    <w:next w:val="1070"/>
    <w:link w:val="899"/>
    <w:uiPriority w:val="9"/>
    <w:unhideWhenUsed/>
    <w:qFormat/>
    <w:pPr>
      <w:keepLines/>
      <w:keepNext/>
      <w:spacing w:before="320" w:after="200"/>
      <w:outlineLvl w:val="3"/>
    </w:pPr>
    <w:rPr>
      <w:rFonts w:ascii="Arial" w:hAnsi="Arial" w:eastAsia="Arial" w:cs="Arial"/>
      <w:b/>
      <w:bCs/>
      <w:sz w:val="26"/>
      <w:szCs w:val="26"/>
    </w:rPr>
  </w:style>
  <w:style w:type="character" w:styleId="899">
    <w:name w:val="Heading 4 Char"/>
    <w:link w:val="898"/>
    <w:uiPriority w:val="9"/>
    <w:rPr>
      <w:rFonts w:ascii="Arial" w:hAnsi="Arial" w:eastAsia="Arial" w:cs="Arial"/>
      <w:b/>
      <w:bCs/>
      <w:sz w:val="26"/>
      <w:szCs w:val="26"/>
    </w:rPr>
  </w:style>
  <w:style w:type="paragraph" w:styleId="900">
    <w:name w:val="Heading 5"/>
    <w:basedOn w:val="1070"/>
    <w:next w:val="1070"/>
    <w:link w:val="901"/>
    <w:uiPriority w:val="9"/>
    <w:unhideWhenUsed/>
    <w:qFormat/>
    <w:pPr>
      <w:keepLines/>
      <w:keepNext/>
      <w:spacing w:before="320" w:after="200"/>
      <w:outlineLvl w:val="4"/>
    </w:pPr>
    <w:rPr>
      <w:rFonts w:ascii="Arial" w:hAnsi="Arial" w:eastAsia="Arial" w:cs="Arial"/>
      <w:b/>
      <w:bCs/>
      <w:sz w:val="24"/>
      <w:szCs w:val="24"/>
    </w:rPr>
  </w:style>
  <w:style w:type="character" w:styleId="901">
    <w:name w:val="Heading 5 Char"/>
    <w:link w:val="900"/>
    <w:uiPriority w:val="9"/>
    <w:rPr>
      <w:rFonts w:ascii="Arial" w:hAnsi="Arial" w:eastAsia="Arial" w:cs="Arial"/>
      <w:b/>
      <w:bCs/>
      <w:sz w:val="24"/>
      <w:szCs w:val="24"/>
    </w:rPr>
  </w:style>
  <w:style w:type="paragraph" w:styleId="902">
    <w:name w:val="Heading 6"/>
    <w:basedOn w:val="1070"/>
    <w:next w:val="1070"/>
    <w:link w:val="903"/>
    <w:uiPriority w:val="9"/>
    <w:unhideWhenUsed/>
    <w:qFormat/>
    <w:pPr>
      <w:keepLines/>
      <w:keepNext/>
      <w:spacing w:before="320" w:after="200"/>
      <w:outlineLvl w:val="5"/>
    </w:pPr>
    <w:rPr>
      <w:rFonts w:ascii="Arial" w:hAnsi="Arial" w:eastAsia="Arial" w:cs="Arial"/>
      <w:b/>
      <w:bCs/>
      <w:sz w:val="22"/>
      <w:szCs w:val="22"/>
    </w:rPr>
  </w:style>
  <w:style w:type="character" w:styleId="903">
    <w:name w:val="Heading 6 Char"/>
    <w:link w:val="902"/>
    <w:uiPriority w:val="9"/>
    <w:rPr>
      <w:rFonts w:ascii="Arial" w:hAnsi="Arial" w:eastAsia="Arial" w:cs="Arial"/>
      <w:b/>
      <w:bCs/>
      <w:sz w:val="22"/>
      <w:szCs w:val="22"/>
    </w:rPr>
  </w:style>
  <w:style w:type="paragraph" w:styleId="904">
    <w:name w:val="Heading 7"/>
    <w:basedOn w:val="1070"/>
    <w:next w:val="1070"/>
    <w:link w:val="905"/>
    <w:uiPriority w:val="9"/>
    <w:unhideWhenUsed/>
    <w:qFormat/>
    <w:pPr>
      <w:keepLines/>
      <w:keepNext/>
      <w:spacing w:before="320" w:after="200"/>
      <w:outlineLvl w:val="6"/>
    </w:pPr>
    <w:rPr>
      <w:rFonts w:ascii="Arial" w:hAnsi="Arial" w:eastAsia="Arial" w:cs="Arial"/>
      <w:b/>
      <w:bCs/>
      <w:i/>
      <w:iCs/>
      <w:sz w:val="22"/>
      <w:szCs w:val="22"/>
    </w:rPr>
  </w:style>
  <w:style w:type="character" w:styleId="905">
    <w:name w:val="Heading 7 Char"/>
    <w:link w:val="904"/>
    <w:uiPriority w:val="9"/>
    <w:rPr>
      <w:rFonts w:ascii="Arial" w:hAnsi="Arial" w:eastAsia="Arial" w:cs="Arial"/>
      <w:b/>
      <w:bCs/>
      <w:i/>
      <w:iCs/>
      <w:sz w:val="22"/>
      <w:szCs w:val="22"/>
    </w:rPr>
  </w:style>
  <w:style w:type="paragraph" w:styleId="906">
    <w:name w:val="Heading 8"/>
    <w:basedOn w:val="1070"/>
    <w:next w:val="1070"/>
    <w:link w:val="907"/>
    <w:uiPriority w:val="9"/>
    <w:unhideWhenUsed/>
    <w:qFormat/>
    <w:pPr>
      <w:keepLines/>
      <w:keepNext/>
      <w:spacing w:before="320" w:after="200"/>
      <w:outlineLvl w:val="7"/>
    </w:pPr>
    <w:rPr>
      <w:rFonts w:ascii="Arial" w:hAnsi="Arial" w:eastAsia="Arial" w:cs="Arial"/>
      <w:i/>
      <w:iCs/>
      <w:sz w:val="22"/>
      <w:szCs w:val="22"/>
    </w:rPr>
  </w:style>
  <w:style w:type="character" w:styleId="907">
    <w:name w:val="Heading 8 Char"/>
    <w:link w:val="906"/>
    <w:uiPriority w:val="9"/>
    <w:rPr>
      <w:rFonts w:ascii="Arial" w:hAnsi="Arial" w:eastAsia="Arial" w:cs="Arial"/>
      <w:i/>
      <w:iCs/>
      <w:sz w:val="22"/>
      <w:szCs w:val="22"/>
    </w:rPr>
  </w:style>
  <w:style w:type="paragraph" w:styleId="908">
    <w:name w:val="Heading 9"/>
    <w:basedOn w:val="1070"/>
    <w:next w:val="1070"/>
    <w:link w:val="909"/>
    <w:uiPriority w:val="9"/>
    <w:unhideWhenUsed/>
    <w:qFormat/>
    <w:pPr>
      <w:keepLines/>
      <w:keepNext/>
      <w:spacing w:before="320" w:after="200"/>
      <w:outlineLvl w:val="8"/>
    </w:pPr>
    <w:rPr>
      <w:rFonts w:ascii="Arial" w:hAnsi="Arial" w:eastAsia="Arial" w:cs="Arial"/>
      <w:i/>
      <w:iCs/>
      <w:sz w:val="21"/>
      <w:szCs w:val="21"/>
    </w:rPr>
  </w:style>
  <w:style w:type="character" w:styleId="909">
    <w:name w:val="Heading 9 Char"/>
    <w:link w:val="908"/>
    <w:uiPriority w:val="9"/>
    <w:rPr>
      <w:rFonts w:ascii="Arial" w:hAnsi="Arial" w:eastAsia="Arial" w:cs="Arial"/>
      <w:i/>
      <w:iCs/>
      <w:sz w:val="21"/>
      <w:szCs w:val="21"/>
    </w:rPr>
  </w:style>
  <w:style w:type="paragraph" w:styleId="910">
    <w:name w:val="List Paragraph"/>
    <w:basedOn w:val="1070"/>
    <w:uiPriority w:val="34"/>
    <w:qFormat/>
    <w:pPr>
      <w:contextualSpacing/>
      <w:ind w:left="720"/>
    </w:pPr>
  </w:style>
  <w:style w:type="paragraph" w:styleId="911">
    <w:name w:val="No Spacing"/>
    <w:uiPriority w:val="1"/>
    <w:qFormat/>
    <w:pPr>
      <w:spacing w:before="0" w:after="0" w:line="240" w:lineRule="auto"/>
    </w:pPr>
  </w:style>
  <w:style w:type="paragraph" w:styleId="912">
    <w:name w:val="Title"/>
    <w:basedOn w:val="1070"/>
    <w:next w:val="1070"/>
    <w:link w:val="913"/>
    <w:uiPriority w:val="10"/>
    <w:qFormat/>
    <w:pPr>
      <w:contextualSpacing/>
      <w:spacing w:before="300" w:after="200"/>
    </w:pPr>
    <w:rPr>
      <w:sz w:val="48"/>
      <w:szCs w:val="48"/>
    </w:rPr>
  </w:style>
  <w:style w:type="character" w:styleId="913">
    <w:name w:val="Title Char"/>
    <w:link w:val="912"/>
    <w:uiPriority w:val="10"/>
    <w:rPr>
      <w:sz w:val="48"/>
      <w:szCs w:val="48"/>
    </w:rPr>
  </w:style>
  <w:style w:type="paragraph" w:styleId="914">
    <w:name w:val="Subtitle"/>
    <w:basedOn w:val="1070"/>
    <w:next w:val="1070"/>
    <w:link w:val="915"/>
    <w:uiPriority w:val="11"/>
    <w:qFormat/>
    <w:pPr>
      <w:spacing w:before="200" w:after="200"/>
    </w:pPr>
    <w:rPr>
      <w:sz w:val="24"/>
      <w:szCs w:val="24"/>
    </w:rPr>
  </w:style>
  <w:style w:type="character" w:styleId="915">
    <w:name w:val="Subtitle Char"/>
    <w:link w:val="914"/>
    <w:uiPriority w:val="11"/>
    <w:rPr>
      <w:sz w:val="24"/>
      <w:szCs w:val="24"/>
    </w:rPr>
  </w:style>
  <w:style w:type="paragraph" w:styleId="916">
    <w:name w:val="Quote"/>
    <w:basedOn w:val="1070"/>
    <w:next w:val="1070"/>
    <w:link w:val="917"/>
    <w:uiPriority w:val="29"/>
    <w:qFormat/>
    <w:pPr>
      <w:ind w:left="720" w:right="720"/>
    </w:pPr>
    <w:rPr>
      <w:i/>
    </w:rPr>
  </w:style>
  <w:style w:type="character" w:styleId="917">
    <w:name w:val="Quote Char"/>
    <w:link w:val="916"/>
    <w:uiPriority w:val="29"/>
    <w:rPr>
      <w:i/>
    </w:rPr>
  </w:style>
  <w:style w:type="paragraph" w:styleId="918">
    <w:name w:val="Intense Quote"/>
    <w:basedOn w:val="1070"/>
    <w:next w:val="1070"/>
    <w:link w:val="91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9">
    <w:name w:val="Intense Quote Char"/>
    <w:link w:val="918"/>
    <w:uiPriority w:val="30"/>
    <w:rPr>
      <w:i/>
    </w:rPr>
  </w:style>
  <w:style w:type="paragraph" w:styleId="920">
    <w:name w:val="Header"/>
    <w:basedOn w:val="1070"/>
    <w:link w:val="921"/>
    <w:uiPriority w:val="99"/>
    <w:unhideWhenUsed/>
    <w:pPr>
      <w:spacing w:after="0" w:line="240" w:lineRule="auto"/>
      <w:tabs>
        <w:tab w:val="center" w:pos="7143" w:leader="none"/>
        <w:tab w:val="right" w:pos="14287" w:leader="none"/>
      </w:tabs>
    </w:pPr>
  </w:style>
  <w:style w:type="character" w:styleId="921">
    <w:name w:val="Header Char"/>
    <w:link w:val="920"/>
    <w:uiPriority w:val="99"/>
  </w:style>
  <w:style w:type="paragraph" w:styleId="922">
    <w:name w:val="Footer"/>
    <w:basedOn w:val="1070"/>
    <w:link w:val="925"/>
    <w:uiPriority w:val="99"/>
    <w:unhideWhenUsed/>
    <w:pPr>
      <w:spacing w:after="0" w:line="240" w:lineRule="auto"/>
      <w:tabs>
        <w:tab w:val="center" w:pos="7143" w:leader="none"/>
        <w:tab w:val="right" w:pos="14287" w:leader="none"/>
      </w:tabs>
    </w:pPr>
  </w:style>
  <w:style w:type="character" w:styleId="923">
    <w:name w:val="Footer Char"/>
    <w:link w:val="922"/>
    <w:uiPriority w:val="99"/>
  </w:style>
  <w:style w:type="paragraph" w:styleId="924">
    <w:name w:val="Caption"/>
    <w:basedOn w:val="1070"/>
    <w:next w:val="1070"/>
    <w:uiPriority w:val="35"/>
    <w:semiHidden/>
    <w:unhideWhenUsed/>
    <w:qFormat/>
    <w:pPr>
      <w:spacing w:line="276" w:lineRule="auto"/>
    </w:pPr>
    <w:rPr>
      <w:b/>
      <w:bCs/>
      <w:color w:val="4f81bd" w:themeColor="accent1"/>
      <w:sz w:val="18"/>
      <w:szCs w:val="18"/>
    </w:rPr>
  </w:style>
  <w:style w:type="character" w:styleId="925">
    <w:name w:val="Caption Char"/>
    <w:basedOn w:val="924"/>
    <w:link w:val="922"/>
    <w:uiPriority w:val="99"/>
  </w:style>
  <w:style w:type="table" w:styleId="9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2">
    <w:name w:val="Hyperlink"/>
    <w:uiPriority w:val="99"/>
    <w:unhideWhenUsed/>
    <w:rPr>
      <w:color w:val="0000ff" w:themeColor="hyperlink"/>
      <w:u w:val="single"/>
    </w:rPr>
  </w:style>
  <w:style w:type="paragraph" w:styleId="1053">
    <w:name w:val="footnote text"/>
    <w:basedOn w:val="1070"/>
    <w:link w:val="1054"/>
    <w:uiPriority w:val="99"/>
    <w:semiHidden/>
    <w:unhideWhenUsed/>
    <w:pPr>
      <w:spacing w:after="40" w:line="240" w:lineRule="auto"/>
    </w:pPr>
    <w:rPr>
      <w:sz w:val="18"/>
    </w:rPr>
  </w:style>
  <w:style w:type="character" w:styleId="1054">
    <w:name w:val="Footnote Text Char"/>
    <w:link w:val="1053"/>
    <w:uiPriority w:val="99"/>
    <w:rPr>
      <w:sz w:val="18"/>
    </w:rPr>
  </w:style>
  <w:style w:type="character" w:styleId="1055">
    <w:name w:val="footnote reference"/>
    <w:uiPriority w:val="99"/>
    <w:unhideWhenUsed/>
    <w:rPr>
      <w:vertAlign w:val="superscript"/>
    </w:rPr>
  </w:style>
  <w:style w:type="paragraph" w:styleId="1056">
    <w:name w:val="endnote text"/>
    <w:basedOn w:val="1070"/>
    <w:link w:val="1057"/>
    <w:uiPriority w:val="99"/>
    <w:semiHidden/>
    <w:unhideWhenUsed/>
    <w:pPr>
      <w:spacing w:after="0" w:line="240" w:lineRule="auto"/>
    </w:pPr>
    <w:rPr>
      <w:sz w:val="20"/>
    </w:rPr>
  </w:style>
  <w:style w:type="character" w:styleId="1057">
    <w:name w:val="Endnote Text Char"/>
    <w:link w:val="1056"/>
    <w:uiPriority w:val="99"/>
    <w:rPr>
      <w:sz w:val="20"/>
    </w:rPr>
  </w:style>
  <w:style w:type="character" w:styleId="1058">
    <w:name w:val="endnote reference"/>
    <w:uiPriority w:val="99"/>
    <w:semiHidden/>
    <w:unhideWhenUsed/>
    <w:rPr>
      <w:vertAlign w:val="superscript"/>
    </w:rPr>
  </w:style>
  <w:style w:type="paragraph" w:styleId="1059">
    <w:name w:val="toc 1"/>
    <w:basedOn w:val="1070"/>
    <w:next w:val="1070"/>
    <w:uiPriority w:val="39"/>
    <w:unhideWhenUsed/>
    <w:pPr>
      <w:ind w:left="0" w:right="0" w:firstLine="0"/>
      <w:spacing w:after="57"/>
    </w:p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next w:val="1070"/>
    <w:link w:val="1070"/>
    <w:qFormat/>
    <w:pPr>
      <w:jc w:val="both"/>
      <w:widowControl w:val="off"/>
    </w:pPr>
    <w:rPr>
      <w:sz w:val="21"/>
      <w:szCs w:val="24"/>
      <w:lang w:val="en-US" w:eastAsia="zh-CN" w:bidi="ar-SA"/>
    </w:rPr>
  </w:style>
  <w:style w:type="paragraph" w:styleId="1071">
    <w:name w:val="标题 1"/>
    <w:basedOn w:val="1070"/>
    <w:next w:val="1070"/>
    <w:link w:val="1083"/>
    <w:qFormat/>
    <w:pPr>
      <w:jc w:val="center"/>
      <w:keepLines/>
      <w:keepNext/>
      <w:spacing w:before="240" w:after="120" w:line="300" w:lineRule="auto"/>
      <w:outlineLvl w:val="0"/>
    </w:pPr>
    <w:rPr>
      <w:rFonts w:ascii="宋体"/>
      <w:b/>
      <w:sz w:val="32"/>
      <w:szCs w:val="20"/>
    </w:rPr>
  </w:style>
  <w:style w:type="paragraph" w:styleId="1072">
    <w:name w:val="标题 2"/>
    <w:basedOn w:val="1070"/>
    <w:next w:val="1085"/>
    <w:link w:val="1084"/>
    <w:qFormat/>
    <w:pPr>
      <w:jc w:val="center"/>
      <w:keepLines/>
      <w:keepNext/>
      <w:spacing w:before="120" w:line="300" w:lineRule="auto"/>
      <w:outlineLvl w:val="1"/>
    </w:pPr>
    <w:rPr>
      <w:rFonts w:ascii="Arial" w:hAnsi="Arial" w:eastAsia="黑体"/>
      <w:b/>
      <w:sz w:val="30"/>
      <w:szCs w:val="20"/>
    </w:rPr>
  </w:style>
  <w:style w:type="paragraph" w:styleId="1073">
    <w:name w:val="标题 3"/>
    <w:basedOn w:val="1070"/>
    <w:next w:val="1085"/>
    <w:link w:val="1087"/>
    <w:qFormat/>
    <w:pPr>
      <w:jc w:val="left"/>
      <w:keepLines/>
      <w:keepNext/>
      <w:spacing w:before="360" w:after="120"/>
      <w:outlineLvl w:val="2"/>
    </w:pPr>
    <w:rPr>
      <w:rFonts w:ascii="宋体"/>
      <w:b/>
      <w:sz w:val="24"/>
      <w:szCs w:val="20"/>
      <w:u w:val="single"/>
    </w:rPr>
  </w:style>
  <w:style w:type="paragraph" w:styleId="1074">
    <w:name w:val="标题 4"/>
    <w:basedOn w:val="1070"/>
    <w:next w:val="1070"/>
    <w:link w:val="1088"/>
    <w:qFormat/>
    <w:pPr>
      <w:keepLines/>
      <w:keepNext/>
      <w:spacing w:before="280" w:after="290" w:line="376" w:lineRule="atLeast"/>
      <w:outlineLvl w:val="3"/>
    </w:pPr>
    <w:rPr>
      <w:rFonts w:ascii="Arial" w:hAnsi="Arial" w:eastAsia="黑体"/>
      <w:b/>
      <w:sz w:val="28"/>
      <w:szCs w:val="20"/>
    </w:rPr>
  </w:style>
  <w:style w:type="paragraph" w:styleId="1075">
    <w:name w:val="标题 5"/>
    <w:basedOn w:val="1070"/>
    <w:next w:val="1070"/>
    <w:link w:val="1089"/>
    <w:qFormat/>
    <w:pPr>
      <w:keepLines/>
      <w:keepNext/>
      <w:spacing w:before="280" w:after="290" w:line="376" w:lineRule="atLeast"/>
      <w:outlineLvl w:val="4"/>
    </w:pPr>
    <w:rPr>
      <w:b/>
      <w:sz w:val="28"/>
      <w:szCs w:val="20"/>
    </w:rPr>
  </w:style>
  <w:style w:type="paragraph" w:styleId="1076">
    <w:name w:val="标题 6"/>
    <w:basedOn w:val="1070"/>
    <w:next w:val="1070"/>
    <w:link w:val="1090"/>
    <w:qFormat/>
    <w:pPr>
      <w:keepLines/>
      <w:keepNext/>
      <w:spacing w:before="240" w:after="64" w:line="320" w:lineRule="atLeast"/>
      <w:outlineLvl w:val="5"/>
    </w:pPr>
    <w:rPr>
      <w:rFonts w:ascii="Arial" w:hAnsi="Arial" w:eastAsia="黑体"/>
      <w:b/>
      <w:sz w:val="24"/>
      <w:szCs w:val="20"/>
    </w:rPr>
  </w:style>
  <w:style w:type="paragraph" w:styleId="1077">
    <w:name w:val="标题 7"/>
    <w:basedOn w:val="1070"/>
    <w:next w:val="1070"/>
    <w:link w:val="1091"/>
    <w:qFormat/>
    <w:pPr>
      <w:keepLines/>
      <w:keepNext/>
      <w:spacing w:before="240" w:after="64" w:line="320" w:lineRule="atLeast"/>
      <w:outlineLvl w:val="6"/>
    </w:pPr>
    <w:rPr>
      <w:b/>
      <w:sz w:val="24"/>
      <w:szCs w:val="20"/>
    </w:rPr>
  </w:style>
  <w:style w:type="paragraph" w:styleId="1078">
    <w:name w:val="标题 8"/>
    <w:basedOn w:val="1070"/>
    <w:next w:val="1070"/>
    <w:link w:val="1092"/>
    <w:qFormat/>
    <w:pPr>
      <w:keepLines/>
      <w:keepNext/>
      <w:spacing w:before="240" w:after="64" w:line="320" w:lineRule="atLeast"/>
      <w:outlineLvl w:val="7"/>
    </w:pPr>
    <w:rPr>
      <w:rFonts w:ascii="Arial" w:hAnsi="Arial" w:eastAsia="黑体"/>
      <w:sz w:val="24"/>
      <w:szCs w:val="20"/>
    </w:rPr>
  </w:style>
  <w:style w:type="paragraph" w:styleId="1079">
    <w:name w:val="标题 9"/>
    <w:basedOn w:val="1070"/>
    <w:next w:val="1070"/>
    <w:link w:val="1093"/>
    <w:qFormat/>
    <w:pPr>
      <w:keepLines/>
      <w:keepNext/>
      <w:spacing w:before="240" w:after="64" w:line="320" w:lineRule="atLeast"/>
      <w:outlineLvl w:val="8"/>
    </w:pPr>
    <w:rPr>
      <w:rFonts w:ascii="Arial" w:hAnsi="Arial" w:eastAsia="黑体"/>
      <w:szCs w:val="20"/>
    </w:rPr>
  </w:style>
  <w:style w:type="character" w:styleId="1080">
    <w:name w:val="默认段落字体"/>
    <w:next w:val="1080"/>
    <w:link w:val="1070"/>
    <w:uiPriority w:val="1"/>
    <w:unhideWhenUsed/>
    <w:qFormat/>
  </w:style>
  <w:style w:type="table" w:styleId="1081">
    <w:name w:val="普通表格"/>
    <w:next w:val="1081"/>
    <w:link w:val="1070"/>
    <w:uiPriority w:val="99"/>
    <w:unhideWhenUsed/>
    <w:qFormat/>
    <w:tblPr/>
  </w:style>
  <w:style w:type="numbering" w:styleId="1082">
    <w:name w:val="无列表"/>
    <w:next w:val="1082"/>
    <w:link w:val="1070"/>
    <w:uiPriority w:val="99"/>
    <w:semiHidden/>
    <w:unhideWhenUsed/>
  </w:style>
  <w:style w:type="character" w:styleId="1083">
    <w:name w:val="标题 1 字符"/>
    <w:next w:val="1083"/>
    <w:link w:val="1071"/>
    <w:qFormat/>
    <w:rPr>
      <w:rFonts w:ascii="宋体"/>
      <w:b/>
      <w:sz w:val="32"/>
    </w:rPr>
  </w:style>
  <w:style w:type="character" w:styleId="1084">
    <w:name w:val="标题 2 字符"/>
    <w:next w:val="1084"/>
    <w:link w:val="1072"/>
    <w:qFormat/>
    <w:rPr>
      <w:rFonts w:ascii="Arial" w:hAnsi="Arial" w:eastAsia="黑体"/>
      <w:b/>
      <w:sz w:val="30"/>
      <w:lang w:val="en-US" w:eastAsia="zh-CN" w:bidi="ar-SA"/>
    </w:rPr>
  </w:style>
  <w:style w:type="paragraph" w:styleId="1085">
    <w:name w:val="正文缩进"/>
    <w:basedOn w:val="1070"/>
    <w:next w:val="1085"/>
    <w:link w:val="1086"/>
    <w:uiPriority w:val="99"/>
    <w:qFormat/>
    <w:pPr>
      <w:ind w:firstLine="420"/>
      <w:jc w:val="left"/>
    </w:pPr>
    <w:rPr>
      <w:rFonts w:ascii="宋体"/>
      <w:sz w:val="24"/>
    </w:rPr>
  </w:style>
  <w:style w:type="character" w:styleId="1086">
    <w:name w:val="正文缩进 字符1"/>
    <w:next w:val="1086"/>
    <w:link w:val="1085"/>
    <w:qFormat/>
    <w:rPr>
      <w:rFonts w:ascii="宋体" w:eastAsia="宋体"/>
      <w:sz w:val="24"/>
      <w:szCs w:val="24"/>
      <w:lang w:val="en-US" w:eastAsia="zh-CN" w:bidi="ar-SA"/>
    </w:rPr>
  </w:style>
  <w:style w:type="character" w:styleId="1087">
    <w:name w:val="标题 3 字符"/>
    <w:next w:val="1087"/>
    <w:link w:val="1073"/>
    <w:qFormat/>
    <w:rPr>
      <w:rFonts w:ascii="宋体" w:eastAsia="宋体"/>
      <w:b/>
      <w:sz w:val="24"/>
      <w:u w:val="single"/>
      <w:lang w:val="en-US" w:eastAsia="zh-CN" w:bidi="ar-SA"/>
    </w:rPr>
  </w:style>
  <w:style w:type="character" w:styleId="1088">
    <w:name w:val="标题 4 字符"/>
    <w:next w:val="1088"/>
    <w:link w:val="1074"/>
    <w:qFormat/>
    <w:rPr>
      <w:rFonts w:ascii="Arial" w:hAnsi="Arial" w:eastAsia="黑体"/>
      <w:b/>
      <w:sz w:val="28"/>
    </w:rPr>
  </w:style>
  <w:style w:type="character" w:styleId="1089">
    <w:name w:val="标题 5 字符"/>
    <w:next w:val="1089"/>
    <w:link w:val="1075"/>
    <w:qFormat/>
    <w:rPr>
      <w:b/>
      <w:sz w:val="28"/>
    </w:rPr>
  </w:style>
  <w:style w:type="character" w:styleId="1090">
    <w:name w:val="标题 6 字符"/>
    <w:next w:val="1090"/>
    <w:link w:val="1076"/>
    <w:qFormat/>
    <w:rPr>
      <w:rFonts w:ascii="Arial" w:hAnsi="Arial" w:eastAsia="黑体"/>
      <w:b/>
      <w:sz w:val="24"/>
    </w:rPr>
  </w:style>
  <w:style w:type="character" w:styleId="1091">
    <w:name w:val="标题 7 字符"/>
    <w:next w:val="1091"/>
    <w:link w:val="1077"/>
    <w:qFormat/>
    <w:rPr>
      <w:b/>
      <w:sz w:val="24"/>
    </w:rPr>
  </w:style>
  <w:style w:type="character" w:styleId="1092">
    <w:name w:val="标题 8 字符"/>
    <w:next w:val="1092"/>
    <w:link w:val="1078"/>
    <w:qFormat/>
    <w:rPr>
      <w:rFonts w:ascii="Arial" w:hAnsi="Arial" w:eastAsia="黑体"/>
      <w:sz w:val="24"/>
    </w:rPr>
  </w:style>
  <w:style w:type="character" w:styleId="1093">
    <w:name w:val="标题 9 字符"/>
    <w:next w:val="1093"/>
    <w:link w:val="1079"/>
    <w:qFormat/>
    <w:rPr>
      <w:rFonts w:ascii="Arial" w:hAnsi="Arial" w:eastAsia="黑体"/>
      <w:sz w:val="21"/>
    </w:rPr>
  </w:style>
  <w:style w:type="paragraph" w:styleId="1094">
    <w:name w:val="目录 7"/>
    <w:basedOn w:val="1070"/>
    <w:next w:val="1070"/>
    <w:link w:val="1070"/>
    <w:qFormat/>
    <w:pPr>
      <w:ind w:left="2520"/>
    </w:pPr>
  </w:style>
  <w:style w:type="paragraph" w:styleId="1095">
    <w:name w:val="题注"/>
    <w:basedOn w:val="1070"/>
    <w:next w:val="1070"/>
    <w:link w:val="1070"/>
    <w:qFormat/>
    <w:pPr>
      <w:spacing w:line="480" w:lineRule="auto"/>
    </w:pPr>
    <w:rPr>
      <w:rFonts w:ascii="华文中宋" w:hAnsi="华文中宋" w:eastAsia="华文中宋"/>
      <w:sz w:val="36"/>
      <w:szCs w:val="20"/>
    </w:rPr>
  </w:style>
  <w:style w:type="paragraph" w:styleId="1096">
    <w:name w:val="文档结构图"/>
    <w:basedOn w:val="1070"/>
    <w:next w:val="1096"/>
    <w:link w:val="1097"/>
    <w:qFormat/>
    <w:pPr>
      <w:shd w:val="clear" w:color="auto" w:fill="000080"/>
    </w:pPr>
  </w:style>
  <w:style w:type="character" w:styleId="1097">
    <w:name w:val="文档结构图 字符"/>
    <w:next w:val="1097"/>
    <w:link w:val="1096"/>
    <w:qFormat/>
    <w:rPr>
      <w:sz w:val="21"/>
      <w:szCs w:val="24"/>
      <w:shd w:val="clear" w:color="auto" w:fill="000080"/>
    </w:rPr>
  </w:style>
  <w:style w:type="paragraph" w:styleId="1098">
    <w:name w:val="批注文字"/>
    <w:basedOn w:val="1070"/>
    <w:next w:val="1098"/>
    <w:link w:val="1099"/>
    <w:uiPriority w:val="99"/>
    <w:qFormat/>
    <w:pPr>
      <w:jc w:val="left"/>
    </w:pPr>
  </w:style>
  <w:style w:type="character" w:styleId="1099">
    <w:name w:val="批注文字 字符1"/>
    <w:next w:val="1099"/>
    <w:link w:val="1098"/>
    <w:uiPriority w:val="99"/>
    <w:qFormat/>
    <w:rPr>
      <w:sz w:val="21"/>
      <w:szCs w:val="24"/>
    </w:rPr>
  </w:style>
  <w:style w:type="paragraph" w:styleId="1100">
    <w:name w:val="正文文本 3"/>
    <w:basedOn w:val="1070"/>
    <w:next w:val="1100"/>
    <w:link w:val="1101"/>
    <w:qFormat/>
    <w:pPr>
      <w:spacing w:after="120"/>
    </w:pPr>
    <w:rPr>
      <w:sz w:val="16"/>
      <w:szCs w:val="16"/>
    </w:rPr>
  </w:style>
  <w:style w:type="character" w:styleId="1101">
    <w:name w:val="正文文本 3 字符"/>
    <w:next w:val="1101"/>
    <w:link w:val="1100"/>
    <w:qFormat/>
    <w:rPr>
      <w:sz w:val="16"/>
      <w:szCs w:val="16"/>
    </w:rPr>
  </w:style>
  <w:style w:type="paragraph" w:styleId="1102">
    <w:name w:val="正文文本"/>
    <w:basedOn w:val="1070"/>
    <w:next w:val="1102"/>
    <w:link w:val="1103"/>
    <w:qFormat/>
    <w:pPr>
      <w:spacing w:before="120" w:line="22" w:lineRule="atLeast"/>
      <w:tabs>
        <w:tab w:val="left" w:pos="567" w:leader="none"/>
      </w:tabs>
    </w:pPr>
    <w:rPr>
      <w:rFonts w:ascii="宋体" w:hAnsi="宋体"/>
      <w:sz w:val="24"/>
    </w:rPr>
  </w:style>
  <w:style w:type="character" w:styleId="1103">
    <w:name w:val="正文文本 字符1"/>
    <w:next w:val="1103"/>
    <w:link w:val="1102"/>
    <w:qFormat/>
    <w:rPr>
      <w:rFonts w:ascii="宋体" w:hAnsi="宋体"/>
      <w:sz w:val="24"/>
      <w:szCs w:val="24"/>
    </w:rPr>
  </w:style>
  <w:style w:type="paragraph" w:styleId="1104">
    <w:name w:val="正文文本缩进"/>
    <w:basedOn w:val="1070"/>
    <w:next w:val="1104"/>
    <w:link w:val="1105"/>
    <w:qFormat/>
    <w:pPr>
      <w:ind w:firstLine="570"/>
      <w:spacing w:line="360" w:lineRule="auto"/>
    </w:pPr>
    <w:rPr>
      <w:sz w:val="24"/>
    </w:rPr>
  </w:style>
  <w:style w:type="character" w:styleId="1105">
    <w:name w:val="正文文本缩进 字符"/>
    <w:next w:val="1105"/>
    <w:link w:val="1104"/>
    <w:qFormat/>
    <w:rPr>
      <w:rFonts w:eastAsia="宋体"/>
      <w:sz w:val="24"/>
      <w:szCs w:val="24"/>
      <w:lang w:val="en-US" w:eastAsia="zh-CN" w:bidi="ar-SA"/>
    </w:rPr>
  </w:style>
  <w:style w:type="paragraph" w:styleId="1106">
    <w:name w:val="列表 2"/>
    <w:basedOn w:val="1070"/>
    <w:next w:val="1106"/>
    <w:link w:val="1070"/>
    <w:qFormat/>
    <w:pPr>
      <w:ind w:left="100" w:hanging="200"/>
    </w:pPr>
  </w:style>
  <w:style w:type="paragraph" w:styleId="1107">
    <w:name w:val="文本块"/>
    <w:basedOn w:val="1070"/>
    <w:next w:val="1107"/>
    <w:link w:val="1070"/>
    <w:qFormat/>
    <w:pPr>
      <w:ind w:left="480" w:right="-341" w:firstLine="513"/>
      <w:widowControl/>
    </w:pPr>
    <w:rPr>
      <w:sz w:val="24"/>
      <w:szCs w:val="20"/>
    </w:rPr>
  </w:style>
  <w:style w:type="paragraph" w:styleId="1108">
    <w:name w:val="目录 5"/>
    <w:basedOn w:val="1070"/>
    <w:next w:val="1070"/>
    <w:link w:val="1070"/>
    <w:qFormat/>
    <w:pPr>
      <w:ind w:left="1680"/>
    </w:pPr>
  </w:style>
  <w:style w:type="paragraph" w:styleId="1109">
    <w:name w:val="目录 3"/>
    <w:basedOn w:val="1070"/>
    <w:next w:val="1070"/>
    <w:link w:val="1070"/>
    <w:uiPriority w:val="39"/>
    <w:qFormat/>
    <w:pPr>
      <w:ind w:left="840"/>
    </w:pPr>
  </w:style>
  <w:style w:type="paragraph" w:styleId="1110">
    <w:name w:val="纯文本"/>
    <w:basedOn w:val="1070"/>
    <w:next w:val="1110"/>
    <w:link w:val="1111"/>
    <w:uiPriority w:val="99"/>
    <w:qFormat/>
    <w:rPr>
      <w:rFonts w:hint="eastAsia" w:ascii="宋体" w:hAnsi="Courier New"/>
      <w:szCs w:val="20"/>
    </w:rPr>
  </w:style>
  <w:style w:type="character" w:styleId="1111">
    <w:name w:val="纯文本 字符2"/>
    <w:next w:val="1111"/>
    <w:link w:val="1110"/>
    <w:qFormat/>
    <w:rPr>
      <w:rFonts w:hint="eastAsia" w:ascii="宋体" w:hAnsi="Courier New" w:eastAsia="宋体" w:cs="宋体"/>
      <w:sz w:val="21"/>
    </w:rPr>
  </w:style>
  <w:style w:type="paragraph" w:styleId="1112">
    <w:name w:val="目录 8"/>
    <w:basedOn w:val="1070"/>
    <w:next w:val="1070"/>
    <w:link w:val="1070"/>
    <w:qFormat/>
    <w:pPr>
      <w:ind w:left="2940"/>
    </w:pPr>
  </w:style>
  <w:style w:type="paragraph" w:styleId="1113">
    <w:name w:val="日期"/>
    <w:basedOn w:val="1070"/>
    <w:next w:val="1070"/>
    <w:link w:val="1114"/>
    <w:qFormat/>
    <w:pPr>
      <w:ind w:left="100"/>
    </w:pPr>
    <w:rPr>
      <w:rFonts w:ascii="仿宋_GB2312" w:hAnsi="宋体" w:eastAsia="仿宋_GB2312"/>
      <w:color w:val="000000"/>
      <w:sz w:val="24"/>
    </w:rPr>
  </w:style>
  <w:style w:type="character" w:styleId="1114">
    <w:name w:val="日期 字符"/>
    <w:next w:val="1114"/>
    <w:link w:val="1113"/>
    <w:qFormat/>
    <w:rPr>
      <w:rFonts w:ascii="仿宋_GB2312" w:hAnsi="宋体" w:eastAsia="仿宋_GB2312"/>
      <w:color w:val="000000"/>
      <w:sz w:val="24"/>
      <w:szCs w:val="24"/>
    </w:rPr>
  </w:style>
  <w:style w:type="paragraph" w:styleId="1115">
    <w:name w:val="正文文本缩进 2"/>
    <w:basedOn w:val="1070"/>
    <w:next w:val="1115"/>
    <w:link w:val="1116"/>
    <w:qFormat/>
    <w:pPr>
      <w:ind w:firstLine="480"/>
    </w:pPr>
    <w:rPr>
      <w:rFonts w:ascii="仿宋_GB2312" w:eastAsia="仿宋_GB2312"/>
      <w:sz w:val="24"/>
    </w:rPr>
  </w:style>
  <w:style w:type="character" w:styleId="1116">
    <w:name w:val="正文文本缩进 2 字符"/>
    <w:next w:val="1116"/>
    <w:link w:val="1115"/>
    <w:qFormat/>
    <w:rPr>
      <w:rFonts w:ascii="仿宋_GB2312" w:eastAsia="仿宋_GB2312"/>
      <w:sz w:val="24"/>
      <w:szCs w:val="24"/>
    </w:rPr>
  </w:style>
  <w:style w:type="paragraph" w:styleId="1117">
    <w:name w:val="批注框文本"/>
    <w:basedOn w:val="1070"/>
    <w:next w:val="1117"/>
    <w:link w:val="1118"/>
    <w:qFormat/>
    <w:rPr>
      <w:sz w:val="18"/>
      <w:szCs w:val="18"/>
    </w:rPr>
  </w:style>
  <w:style w:type="character" w:styleId="1118">
    <w:name w:val="批注框文本 字符"/>
    <w:next w:val="1118"/>
    <w:link w:val="1117"/>
    <w:qFormat/>
    <w:rPr>
      <w:sz w:val="18"/>
      <w:szCs w:val="18"/>
    </w:rPr>
  </w:style>
  <w:style w:type="paragraph" w:styleId="1119">
    <w:name w:val="页脚"/>
    <w:basedOn w:val="1070"/>
    <w:next w:val="1119"/>
    <w:link w:val="1120"/>
    <w:uiPriority w:val="99"/>
    <w:qFormat/>
    <w:pPr>
      <w:jc w:val="left"/>
      <w:tabs>
        <w:tab w:val="center" w:pos="4153" w:leader="none"/>
        <w:tab w:val="right" w:pos="8306" w:leader="none"/>
      </w:tabs>
    </w:pPr>
    <w:rPr>
      <w:rFonts w:ascii="宋体"/>
      <w:sz w:val="18"/>
      <w:szCs w:val="20"/>
    </w:rPr>
  </w:style>
  <w:style w:type="character" w:styleId="1120">
    <w:name w:val="页脚 字符"/>
    <w:next w:val="1120"/>
    <w:link w:val="1119"/>
    <w:uiPriority w:val="99"/>
    <w:qFormat/>
    <w:rPr>
      <w:rFonts w:ascii="宋体" w:eastAsia="宋体"/>
      <w:sz w:val="18"/>
      <w:lang w:val="en-US" w:eastAsia="zh-CN" w:bidi="ar-SA"/>
    </w:rPr>
  </w:style>
  <w:style w:type="paragraph" w:styleId="1121">
    <w:name w:val="页眉"/>
    <w:basedOn w:val="1070"/>
    <w:next w:val="1121"/>
    <w:link w:val="1122"/>
    <w:qFormat/>
    <w:pPr>
      <w:jc w:val="center"/>
      <w:tabs>
        <w:tab w:val="center" w:pos="4153" w:leader="none"/>
        <w:tab w:val="right" w:pos="8306" w:leader="none"/>
      </w:tabs>
      <w:pBdr>
        <w:bottom w:val="single" w:color="000000" w:sz="6" w:space="1"/>
      </w:pBdr>
    </w:pPr>
    <w:rPr>
      <w:sz w:val="18"/>
      <w:szCs w:val="18"/>
    </w:rPr>
  </w:style>
  <w:style w:type="character" w:styleId="1122">
    <w:name w:val="页眉 字符"/>
    <w:next w:val="1122"/>
    <w:link w:val="1121"/>
    <w:qFormat/>
    <w:rPr>
      <w:rFonts w:eastAsia="宋体"/>
      <w:sz w:val="18"/>
      <w:szCs w:val="18"/>
      <w:lang w:val="en-US" w:eastAsia="zh-CN" w:bidi="ar-SA"/>
    </w:rPr>
  </w:style>
  <w:style w:type="paragraph" w:styleId="1123">
    <w:name w:val="目录 1"/>
    <w:basedOn w:val="1070"/>
    <w:next w:val="1070"/>
    <w:link w:val="1070"/>
    <w:uiPriority w:val="39"/>
    <w:qFormat/>
    <w:pPr>
      <w:spacing w:line="300" w:lineRule="auto"/>
      <w:tabs>
        <w:tab w:val="left" w:pos="1050" w:leader="none"/>
        <w:tab w:val="right" w:pos="8937" w:leader="dot"/>
      </w:tabs>
    </w:pPr>
    <w:rPr>
      <w:rFonts w:ascii="宋体" w:hAnsi="宋体"/>
      <w:b/>
      <w:sz w:val="24"/>
    </w:rPr>
  </w:style>
  <w:style w:type="paragraph" w:styleId="1124">
    <w:name w:val="目录 4"/>
    <w:basedOn w:val="1070"/>
    <w:next w:val="1070"/>
    <w:link w:val="1070"/>
    <w:qFormat/>
    <w:pPr>
      <w:ind w:left="1260"/>
    </w:pPr>
  </w:style>
  <w:style w:type="paragraph" w:styleId="1125">
    <w:name w:val="目录 6"/>
    <w:basedOn w:val="1070"/>
    <w:next w:val="1070"/>
    <w:link w:val="1070"/>
    <w:qFormat/>
    <w:pPr>
      <w:ind w:left="2100"/>
    </w:pPr>
  </w:style>
  <w:style w:type="paragraph" w:styleId="1126">
    <w:name w:val="正文文本缩进 3"/>
    <w:basedOn w:val="1070"/>
    <w:next w:val="1126"/>
    <w:link w:val="1127"/>
    <w:qFormat/>
    <w:pPr>
      <w:ind w:left="720" w:firstLine="480"/>
      <w:jc w:val="left"/>
      <w:spacing w:before="120" w:line="22" w:lineRule="atLeast"/>
    </w:pPr>
    <w:rPr>
      <w:rFonts w:ascii="宋体"/>
      <w:sz w:val="24"/>
      <w:szCs w:val="20"/>
    </w:rPr>
  </w:style>
  <w:style w:type="character" w:styleId="1127">
    <w:name w:val="正文文本缩进 3 字符"/>
    <w:next w:val="1127"/>
    <w:link w:val="1126"/>
    <w:qFormat/>
    <w:rPr>
      <w:rFonts w:ascii="宋体"/>
      <w:sz w:val="24"/>
    </w:rPr>
  </w:style>
  <w:style w:type="paragraph" w:styleId="1128">
    <w:name w:val="目录 2"/>
    <w:basedOn w:val="1070"/>
    <w:next w:val="1070"/>
    <w:link w:val="1070"/>
    <w:uiPriority w:val="39"/>
    <w:qFormat/>
    <w:pPr>
      <w:ind w:left="420"/>
      <w:spacing w:line="312" w:lineRule="auto"/>
      <w:tabs>
        <w:tab w:val="right" w:pos="8937" w:leader="dot"/>
      </w:tabs>
    </w:pPr>
  </w:style>
  <w:style w:type="paragraph" w:styleId="1129">
    <w:name w:val="目录 9"/>
    <w:basedOn w:val="1070"/>
    <w:next w:val="1070"/>
    <w:link w:val="1070"/>
    <w:qFormat/>
    <w:pPr>
      <w:ind w:left="3360"/>
    </w:pPr>
  </w:style>
  <w:style w:type="paragraph" w:styleId="1130">
    <w:name w:val="HTML 预设格式"/>
    <w:basedOn w:val="1070"/>
    <w:next w:val="1130"/>
    <w:link w:val="113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1">
    <w:name w:val="HTML 预设格式 字符"/>
    <w:next w:val="1131"/>
    <w:link w:val="1130"/>
    <w:qFormat/>
    <w:rPr>
      <w:rFonts w:ascii="宋体" w:hAnsi="宋体" w:cs="宋体"/>
      <w:sz w:val="24"/>
      <w:szCs w:val="24"/>
    </w:rPr>
  </w:style>
  <w:style w:type="paragraph" w:styleId="1132">
    <w:name w:val="普通(网站)"/>
    <w:basedOn w:val="1070"/>
    <w:next w:val="1132"/>
    <w:link w:val="1070"/>
    <w:uiPriority w:val="99"/>
    <w:unhideWhenUsed/>
    <w:qFormat/>
    <w:pPr>
      <w:jc w:val="left"/>
      <w:spacing w:before="100" w:beforeAutospacing="1" w:after="100" w:afterAutospacing="1"/>
      <w:widowControl/>
    </w:pPr>
    <w:rPr>
      <w:rFonts w:ascii="宋体" w:hAnsi="宋体" w:cs="宋体"/>
      <w:sz w:val="24"/>
    </w:rPr>
  </w:style>
  <w:style w:type="paragraph" w:styleId="1133">
    <w:name w:val="索引 1"/>
    <w:basedOn w:val="1070"/>
    <w:next w:val="1070"/>
    <w:link w:val="1070"/>
    <w:qFormat/>
    <w:rPr>
      <w:szCs w:val="20"/>
    </w:rPr>
  </w:style>
  <w:style w:type="paragraph" w:styleId="1134">
    <w:name w:val="标题"/>
    <w:basedOn w:val="1070"/>
    <w:next w:val="1134"/>
    <w:link w:val="1135"/>
    <w:qFormat/>
    <w:pPr>
      <w:jc w:val="center"/>
      <w:outlineLvl w:val="0"/>
    </w:pPr>
    <w:rPr>
      <w:b/>
      <w:sz w:val="32"/>
      <w:szCs w:val="20"/>
    </w:rPr>
  </w:style>
  <w:style w:type="character" w:styleId="1135">
    <w:name w:val="标题 字符"/>
    <w:next w:val="1135"/>
    <w:link w:val="1134"/>
    <w:qFormat/>
    <w:rPr>
      <w:b/>
      <w:sz w:val="32"/>
    </w:rPr>
  </w:style>
  <w:style w:type="paragraph" w:styleId="1136">
    <w:name w:val="批注主题"/>
    <w:basedOn w:val="1098"/>
    <w:next w:val="1098"/>
    <w:link w:val="1137"/>
    <w:qFormat/>
    <w:rPr>
      <w:b/>
      <w:bCs/>
    </w:rPr>
  </w:style>
  <w:style w:type="character" w:styleId="1137">
    <w:name w:val="批注主题 字符"/>
    <w:next w:val="1137"/>
    <w:link w:val="1136"/>
    <w:qFormat/>
    <w:rPr>
      <w:rFonts w:ascii="Times New Roman" w:hAnsi="Times New Roman" w:eastAsia="宋体" w:cs="Times New Roman"/>
      <w:b/>
      <w:bCs/>
      <w:sz w:val="21"/>
      <w:szCs w:val="24"/>
      <w:lang w:val="en-US" w:eastAsia="zh-CN" w:bidi="ar-SA"/>
    </w:rPr>
  </w:style>
  <w:style w:type="paragraph" w:styleId="1138">
    <w:name w:val="正文首行缩进 2"/>
    <w:basedOn w:val="1104"/>
    <w:next w:val="1138"/>
    <w:link w:val="1139"/>
    <w:qFormat/>
    <w:pPr>
      <w:ind w:left="420" w:firstLine="420"/>
      <w:spacing w:after="120" w:line="480" w:lineRule="exact"/>
    </w:pPr>
    <w:rPr>
      <w:szCs w:val="20"/>
    </w:rPr>
  </w:style>
  <w:style w:type="character" w:styleId="1139">
    <w:name w:val="正文首行缩进 2 字符"/>
    <w:next w:val="1139"/>
    <w:link w:val="1138"/>
    <w:qFormat/>
    <w:rPr>
      <w:rFonts w:eastAsia="宋体"/>
      <w:sz w:val="24"/>
      <w:szCs w:val="24"/>
      <w:lang w:val="en-US" w:eastAsia="zh-CN" w:bidi="ar-SA"/>
    </w:rPr>
  </w:style>
  <w:style w:type="table" w:styleId="1140">
    <w:name w:val="网格型"/>
    <w:basedOn w:val="1081"/>
    <w:next w:val="1140"/>
    <w:link w:val="1070"/>
    <w:uiPriority w:val="39"/>
    <w:qFormat/>
    <w:tblPr/>
  </w:style>
  <w:style w:type="table" w:styleId="1141">
    <w:name w:val="中等深浅网格 1 - 着色 2"/>
    <w:basedOn w:val="1081"/>
    <w:next w:val="1141"/>
    <w:link w:val="1070"/>
    <w:qFormat/>
    <w:rPr>
      <w:sz w:val="21"/>
      <w:szCs w:val="24"/>
    </w:rPr>
    <w:tblPr/>
  </w:style>
  <w:style w:type="character" w:styleId="1142">
    <w:name w:val="要点"/>
    <w:next w:val="1142"/>
    <w:link w:val="1070"/>
    <w:qFormat/>
    <w:rPr>
      <w:b/>
      <w:bCs/>
    </w:rPr>
  </w:style>
  <w:style w:type="character" w:styleId="1143">
    <w:name w:val="页码"/>
    <w:next w:val="1143"/>
    <w:link w:val="1070"/>
    <w:qFormat/>
  </w:style>
  <w:style w:type="character" w:styleId="1144">
    <w:name w:val="访问过的超链接"/>
    <w:next w:val="1144"/>
    <w:link w:val="1070"/>
    <w:qFormat/>
    <w:rPr>
      <w:color w:val="800080"/>
      <w:u w:val="single"/>
    </w:rPr>
  </w:style>
  <w:style w:type="character" w:styleId="1145">
    <w:name w:val="强调"/>
    <w:next w:val="1145"/>
    <w:link w:val="1070"/>
    <w:qFormat/>
    <w:rPr>
      <w:color w:val="cc0033"/>
    </w:rPr>
  </w:style>
  <w:style w:type="character" w:styleId="1146">
    <w:name w:val="超链接"/>
    <w:next w:val="1146"/>
    <w:link w:val="1070"/>
    <w:uiPriority w:val="99"/>
    <w:qFormat/>
    <w:rPr>
      <w:color w:val="0000ff"/>
      <w:u w:val="single"/>
    </w:rPr>
  </w:style>
  <w:style w:type="character" w:styleId="1147">
    <w:name w:val="批注引用"/>
    <w:next w:val="1147"/>
    <w:link w:val="1070"/>
    <w:uiPriority w:val="99"/>
    <w:qFormat/>
    <w:rPr>
      <w:sz w:val="21"/>
      <w:szCs w:val="21"/>
    </w:rPr>
  </w:style>
  <w:style w:type="character" w:styleId="1148">
    <w:name w:val="HTML 引文"/>
    <w:next w:val="1148"/>
    <w:link w:val="1070"/>
    <w:qFormat/>
    <w:rPr>
      <w:i/>
      <w:iCs/>
    </w:rPr>
  </w:style>
  <w:style w:type="character" w:styleId="1149">
    <w:name w:val="批注文字 字符"/>
    <w:next w:val="1149"/>
    <w:link w:val="1070"/>
    <w:uiPriority w:val="99"/>
    <w:qFormat/>
    <w:rPr>
      <w:rFonts w:ascii="Times New Roman" w:hAnsi="Times New Roman" w:eastAsia="宋体" w:cs="Times New Roman"/>
      <w:sz w:val="24"/>
      <w:lang w:val="en-US" w:eastAsia="zh-CN" w:bidi="ar-SA"/>
    </w:rPr>
  </w:style>
  <w:style w:type="character" w:styleId="1150">
    <w:name w:val="c21"/>
    <w:next w:val="1150"/>
    <w:link w:val="1070"/>
    <w:qFormat/>
    <w:rPr>
      <w:rFonts w:ascii="ˎ̥" w:hAnsi="ˎ̥"/>
      <w:color w:val="000000"/>
      <w:sz w:val="20"/>
      <w:szCs w:val="20"/>
      <w:u w:val="none"/>
    </w:rPr>
  </w:style>
  <w:style w:type="character" w:styleId="1151">
    <w:name w:val="title4"/>
    <w:next w:val="1151"/>
    <w:link w:val="1070"/>
    <w:qFormat/>
    <w:rPr>
      <w:b/>
      <w:bCs/>
      <w:color w:val="1d87b3"/>
      <w:sz w:val="15"/>
      <w:szCs w:val="15"/>
    </w:rPr>
  </w:style>
  <w:style w:type="character" w:styleId="1152">
    <w:name w:val="标题 2 Char Char"/>
    <w:next w:val="1152"/>
    <w:link w:val="1070"/>
    <w:qFormat/>
    <w:rPr>
      <w:rFonts w:ascii="Arial" w:hAnsi="Arial" w:eastAsia="黑体"/>
      <w:b/>
      <w:bCs/>
      <w:sz w:val="32"/>
      <w:szCs w:val="32"/>
      <w:lang w:val="en-US" w:eastAsia="zh-CN" w:bidi="ar-SA"/>
    </w:rPr>
  </w:style>
  <w:style w:type="character" w:styleId="1153">
    <w:name w:val="black1"/>
    <w:next w:val="1153"/>
    <w:link w:val="1070"/>
    <w:qFormat/>
    <w:rPr>
      <w:color w:val="000000"/>
    </w:rPr>
  </w:style>
  <w:style w:type="character" w:styleId="1154">
    <w:name w:val="street-address"/>
    <w:next w:val="1154"/>
    <w:link w:val="1070"/>
    <w:qFormat/>
  </w:style>
  <w:style w:type="character" w:styleId="1155">
    <w:name w:val="locality"/>
    <w:next w:val="1155"/>
    <w:link w:val="1070"/>
    <w:qFormat/>
  </w:style>
  <w:style w:type="character" w:styleId="1156">
    <w:name w:val="正文文本缩进 Char1"/>
    <w:next w:val="1156"/>
    <w:link w:val="1157"/>
    <w:qFormat/>
    <w:rPr>
      <w:rFonts w:ascii="宋体" w:hAnsi="宋体" w:eastAsia="宋体"/>
      <w:sz w:val="24"/>
      <w:szCs w:val="24"/>
      <w:lang w:bidi="ar-SA"/>
    </w:rPr>
  </w:style>
  <w:style w:type="paragraph" w:styleId="1157">
    <w:name w:val="正文文本缩进1"/>
    <w:basedOn w:val="1070"/>
    <w:next w:val="1157"/>
    <w:link w:val="1156"/>
    <w:qFormat/>
    <w:pPr>
      <w:ind w:firstLine="480"/>
      <w:spacing w:line="480" w:lineRule="exact"/>
    </w:pPr>
    <w:rPr>
      <w:rFonts w:ascii="宋体" w:hAnsi="宋体"/>
      <w:sz w:val="24"/>
    </w:rPr>
  </w:style>
  <w:style w:type="character" w:styleId="1158">
    <w:name w:val="Char Char11"/>
    <w:next w:val="1158"/>
    <w:link w:val="1070"/>
    <w:qFormat/>
    <w:rPr>
      <w:rFonts w:ascii="宋体" w:eastAsia="宋体"/>
      <w:b/>
      <w:sz w:val="24"/>
      <w:u w:val="single"/>
      <w:lang w:val="en-US" w:eastAsia="zh-CN" w:bidi="ar-SA"/>
    </w:rPr>
  </w:style>
  <w:style w:type="character" w:styleId="1159">
    <w:name w:val="txt"/>
    <w:next w:val="1159"/>
    <w:link w:val="1070"/>
    <w:qFormat/>
  </w:style>
  <w:style w:type="character" w:styleId="1160">
    <w:name w:val="正文缩进 Char Char"/>
    <w:next w:val="1160"/>
    <w:link w:val="1161"/>
    <w:qFormat/>
    <w:rPr>
      <w:rFonts w:ascii="宋体" w:eastAsia="宋体"/>
      <w:color w:val="000000"/>
      <w:sz w:val="28"/>
      <w:lang w:bidi="ar-SA"/>
    </w:rPr>
  </w:style>
  <w:style w:type="paragraph" w:styleId="1161">
    <w:name w:val="正文缩进1"/>
    <w:basedOn w:val="1070"/>
    <w:next w:val="1161"/>
    <w:link w:val="1160"/>
    <w:qFormat/>
    <w:pPr>
      <w:ind w:firstLine="567"/>
      <w:spacing w:line="480" w:lineRule="exact"/>
      <w:widowControl/>
    </w:pPr>
    <w:rPr>
      <w:rFonts w:ascii="宋体"/>
      <w:color w:val="000000"/>
      <w:sz w:val="28"/>
      <w:szCs w:val="20"/>
    </w:rPr>
  </w:style>
  <w:style w:type="character" w:styleId="1162">
    <w:name w:val="普通文字1 Char1"/>
    <w:next w:val="1162"/>
    <w:link w:val="1070"/>
    <w:qFormat/>
    <w:rPr>
      <w:rFonts w:ascii="宋体" w:hAnsi="Courier New" w:eastAsia="宋体"/>
      <w:sz w:val="21"/>
      <w:lang w:val="en-US" w:eastAsia="zh-CN" w:bidi="ar-SA"/>
    </w:rPr>
  </w:style>
  <w:style w:type="character" w:styleId="1163">
    <w:name w:val="chanpin1"/>
    <w:next w:val="1163"/>
    <w:link w:val="1070"/>
    <w:qFormat/>
    <w:rPr>
      <w:rFonts w:ascii="ˎ̥" w:hAnsi="ˎ̥"/>
      <w:color w:val="000000"/>
      <w:sz w:val="20"/>
      <w:szCs w:val="20"/>
      <w:u w:val="none"/>
    </w:rPr>
  </w:style>
  <w:style w:type="character" w:styleId="1164">
    <w:name w:val="列出段落 字符"/>
    <w:next w:val="1164"/>
    <w:link w:val="1165"/>
    <w:uiPriority w:val="34"/>
    <w:qFormat/>
    <w:rPr>
      <w:rFonts w:ascii="Calibri" w:hAnsi="Calibri" w:eastAsia="宋体"/>
      <w:sz w:val="21"/>
      <w:szCs w:val="22"/>
      <w:lang w:val="en-US" w:eastAsia="zh-CN" w:bidi="ar-SA"/>
    </w:rPr>
  </w:style>
  <w:style w:type="paragraph" w:styleId="1165">
    <w:name w:val="列出段落"/>
    <w:basedOn w:val="1070"/>
    <w:next w:val="1165"/>
    <w:link w:val="1164"/>
    <w:uiPriority w:val="34"/>
    <w:qFormat/>
    <w:pPr>
      <w:ind w:firstLine="420"/>
    </w:pPr>
    <w:rPr>
      <w:rFonts w:ascii="Calibri" w:hAnsi="Calibri"/>
      <w:szCs w:val="22"/>
    </w:rPr>
  </w:style>
  <w:style w:type="character" w:styleId="1166">
    <w:name w:val="标题 3 Char Char"/>
    <w:next w:val="1166"/>
    <w:link w:val="1070"/>
    <w:qFormat/>
    <w:rPr>
      <w:rFonts w:eastAsia="宋体"/>
      <w:b/>
      <w:bCs/>
      <w:sz w:val="32"/>
      <w:szCs w:val="32"/>
      <w:lang w:val="en-US" w:eastAsia="zh-CN" w:bidi="ar-SA"/>
    </w:rPr>
  </w:style>
  <w:style w:type="character" w:styleId="1167">
    <w:name w:val="段1 Char"/>
    <w:next w:val="1167"/>
    <w:link w:val="1070"/>
    <w:qFormat/>
    <w:rPr>
      <w:rFonts w:ascii="宋体" w:eastAsia="宋体"/>
      <w:sz w:val="24"/>
      <w:lang w:val="en-US" w:eastAsia="zh-CN" w:bidi="ar-SA"/>
    </w:rPr>
  </w:style>
  <w:style w:type="character" w:styleId="1168">
    <w:name w:val="chanpin拷贝"/>
    <w:next w:val="1168"/>
    <w:link w:val="1070"/>
    <w:qFormat/>
  </w:style>
  <w:style w:type="character" w:styleId="1169">
    <w:name w:val="纯文本 Char1"/>
    <w:next w:val="1169"/>
    <w:link w:val="1070"/>
    <w:uiPriority w:val="99"/>
    <w:qFormat/>
    <w:rPr>
      <w:rFonts w:ascii="宋体" w:hAnsi="Courier New" w:eastAsia="宋体"/>
      <w:sz w:val="21"/>
      <w:lang w:val="en-US" w:eastAsia="zh-CN" w:bidi="ar-SA"/>
    </w:rPr>
  </w:style>
  <w:style w:type="character" w:styleId="1170">
    <w:name w:val="apple-style-span"/>
    <w:next w:val="1170"/>
    <w:link w:val="1070"/>
    <w:qFormat/>
    <w:rPr>
      <w:rFonts w:cs="Times New Roman"/>
    </w:rPr>
  </w:style>
  <w:style w:type="paragraph" w:styleId="1171">
    <w:name w:val="二级条标题"/>
    <w:basedOn w:val="1172"/>
    <w:next w:val="1070"/>
    <w:link w:val="1070"/>
    <w:qFormat/>
    <w:pPr>
      <w:numPr>
        <w:ilvl w:val="0"/>
        <w:numId w:val="0"/>
      </w:numPr>
      <w:ind w:hanging="840"/>
      <w:tabs>
        <w:tab w:val="left" w:pos="360" w:leader="none"/>
        <w:tab w:val="left" w:pos="840" w:leader="none"/>
      </w:tabs>
      <w:outlineLvl w:val="2"/>
    </w:pPr>
    <w:rPr>
      <w:rFonts w:ascii="宋体" w:eastAsia="宋体"/>
      <w:b w:val="0"/>
    </w:rPr>
  </w:style>
  <w:style w:type="paragraph" w:styleId="1172">
    <w:name w:val="一级条标题"/>
    <w:basedOn w:val="1173"/>
    <w:next w:val="1070"/>
    <w:link w:val="1070"/>
    <w:qFormat/>
    <w:pPr>
      <w:numPr>
        <w:ilvl w:val="1"/>
      </w:numPr>
      <w:ind w:left="0" w:hanging="840"/>
      <w:tabs>
        <w:tab w:val="left" w:pos="360" w:leader="none"/>
        <w:tab w:val="left" w:pos="840" w:leader="none"/>
      </w:tabs>
      <w:outlineLvl w:val="1"/>
    </w:pPr>
  </w:style>
  <w:style w:type="paragraph" w:styleId="1173">
    <w:name w:val="章标题"/>
    <w:next w:val="1070"/>
    <w:link w:val="1070"/>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4">
    <w:name w:val="font7"/>
    <w:basedOn w:val="1070"/>
    <w:next w:val="1174"/>
    <w:link w:val="1070"/>
    <w:qFormat/>
    <w:pPr>
      <w:jc w:val="left"/>
      <w:spacing w:before="100" w:beforeAutospacing="1" w:after="100" w:afterAutospacing="1"/>
      <w:widowControl/>
    </w:pPr>
    <w:rPr>
      <w:rFonts w:eastAsia="Arial Unicode MS"/>
      <w:b/>
      <w:bCs/>
      <w:color w:val="000000"/>
      <w:sz w:val="20"/>
      <w:szCs w:val="20"/>
    </w:rPr>
  </w:style>
  <w:style w:type="paragraph" w:styleId="1175">
    <w:name w:val="字元 字元"/>
    <w:basedOn w:val="1070"/>
    <w:next w:val="1175"/>
    <w:link w:val="1070"/>
    <w:qFormat/>
    <w:rPr>
      <w:rFonts w:ascii="Tahoma" w:hAnsi="Tahoma"/>
      <w:sz w:val="24"/>
      <w:szCs w:val="20"/>
    </w:rPr>
  </w:style>
  <w:style w:type="paragraph" w:styleId="1176">
    <w:name w:val="Char3 Char Char Char"/>
    <w:basedOn w:val="1070"/>
    <w:next w:val="1176"/>
    <w:link w:val="1070"/>
    <w:qFormat/>
    <w:rPr>
      <w:rFonts w:ascii="Tahoma" w:hAnsi="Tahoma"/>
      <w:sz w:val="24"/>
      <w:szCs w:val="20"/>
    </w:rPr>
  </w:style>
  <w:style w:type="paragraph" w:styleId="1177">
    <w:name w:val="font6"/>
    <w:basedOn w:val="1070"/>
    <w:next w:val="1177"/>
    <w:link w:val="1070"/>
    <w:qFormat/>
    <w:pPr>
      <w:jc w:val="left"/>
      <w:spacing w:before="100" w:beforeAutospacing="1" w:after="100" w:afterAutospacing="1"/>
      <w:widowControl/>
    </w:pPr>
    <w:rPr>
      <w:rFonts w:ascii="宋体" w:hAnsi="宋体" w:cs="宋体"/>
      <w:sz w:val="20"/>
      <w:szCs w:val="20"/>
    </w:rPr>
  </w:style>
  <w:style w:type="paragraph" w:styleId="1178">
    <w:name w:val="项目编号2"/>
    <w:basedOn w:val="1179"/>
    <w:next w:val="1178"/>
    <w:link w:val="1070"/>
    <w:qFormat/>
    <w:pPr>
      <w:numPr>
        <w:numId w:val="3"/>
      </w:numPr>
    </w:pPr>
  </w:style>
  <w:style w:type="paragraph" w:styleId="1179">
    <w:name w:val="项目编号1"/>
    <w:basedOn w:val="1070"/>
    <w:next w:val="1179"/>
    <w:link w:val="1070"/>
    <w:qFormat/>
    <w:pPr>
      <w:numPr>
        <w:ilvl w:val="0"/>
        <w:numId w:val="2"/>
      </w:numPr>
      <w:spacing w:before="100" w:beforeAutospacing="1" w:after="100" w:afterAutospacing="1" w:line="360" w:lineRule="auto"/>
    </w:pPr>
    <w:rPr>
      <w:sz w:val="24"/>
    </w:rPr>
  </w:style>
  <w:style w:type="paragraph" w:styleId="1180">
    <w:name w:val="图中文字"/>
    <w:basedOn w:val="1070"/>
    <w:next w:val="1180"/>
    <w:link w:val="1070"/>
    <w:qFormat/>
    <w:pPr>
      <w:jc w:val="center"/>
      <w:spacing w:line="0" w:lineRule="atLeast"/>
    </w:pPr>
    <w:rPr>
      <w:sz w:val="24"/>
      <w:szCs w:val="20"/>
    </w:rPr>
  </w:style>
  <w:style w:type="paragraph" w:styleId="1181">
    <w:name w:val="xl46"/>
    <w:basedOn w:val="1070"/>
    <w:next w:val="1181"/>
    <w:link w:val="107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2">
    <w:name w:val="xl25"/>
    <w:basedOn w:val="1070"/>
    <w:next w:val="1182"/>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3">
    <w:name w:val="Char2"/>
    <w:basedOn w:val="1070"/>
    <w:next w:val="1183"/>
    <w:link w:val="1070"/>
    <w:qFormat/>
    <w:rPr>
      <w:rFonts w:ascii="Tahoma" w:hAnsi="Tahoma"/>
      <w:sz w:val="24"/>
      <w:szCs w:val="20"/>
    </w:rPr>
  </w:style>
  <w:style w:type="paragraph" w:styleId="1184">
    <w:name w:val="xl35"/>
    <w:basedOn w:val="1070"/>
    <w:next w:val="1184"/>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5">
    <w:name w:val="xl40"/>
    <w:basedOn w:val="1070"/>
    <w:next w:val="1185"/>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6">
    <w:name w:val="xl52"/>
    <w:basedOn w:val="1070"/>
    <w:next w:val="118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87">
    <w:name w:val="xl43"/>
    <w:basedOn w:val="1070"/>
    <w:next w:val="1187"/>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8">
    <w:name w:val="background1"/>
    <w:basedOn w:val="1070"/>
    <w:next w:val="1188"/>
    <w:link w:val="1070"/>
    <w:qFormat/>
    <w:pPr>
      <w:jc w:val="left"/>
      <w:spacing w:before="100" w:beforeAutospacing="1" w:after="100" w:afterAutospacing="1"/>
      <w:widowControl/>
    </w:pPr>
    <w:rPr>
      <w:rFonts w:ascii="宋体" w:hAnsi="宋体" w:cs="宋体"/>
      <w:sz w:val="24"/>
    </w:rPr>
  </w:style>
  <w:style w:type="paragraph" w:styleId="1189">
    <w:name w:val="Char Char Char Char Char Char Char"/>
    <w:basedOn w:val="1070"/>
    <w:next w:val="1189"/>
    <w:link w:val="1070"/>
    <w:qFormat/>
    <w:pPr>
      <w:ind w:firstLine="200"/>
      <w:spacing w:line="360" w:lineRule="auto"/>
    </w:pPr>
    <w:rPr>
      <w:rFonts w:eastAsia="仿宋_GB2312"/>
      <w:sz w:val="24"/>
    </w:rPr>
  </w:style>
  <w:style w:type="paragraph" w:styleId="1190">
    <w:name w:val="xl38"/>
    <w:basedOn w:val="1070"/>
    <w:next w:val="119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1">
    <w:name w:val="xl36"/>
    <w:basedOn w:val="1070"/>
    <w:next w:val="1191"/>
    <w:link w:val="107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2">
    <w:name w:val="正文 + 宋体"/>
    <w:basedOn w:val="1070"/>
    <w:next w:val="1192"/>
    <w:link w:val="1070"/>
    <w:qFormat/>
    <w:pPr>
      <w:ind w:left="360" w:hanging="360"/>
      <w:jc w:val="left"/>
      <w:widowControl/>
    </w:pPr>
    <w:rPr>
      <w:rFonts w:ascii="宋体" w:hAnsi="宋体" w:cs="宋体"/>
      <w:b/>
      <w:bCs/>
      <w:color w:val="000000"/>
      <w:sz w:val="18"/>
      <w:szCs w:val="18"/>
    </w:rPr>
  </w:style>
  <w:style w:type="paragraph" w:styleId="1193">
    <w:name w:val="正文列项_数字"/>
    <w:basedOn w:val="1070"/>
    <w:next w:val="1193"/>
    <w:link w:val="1070"/>
    <w:qFormat/>
    <w:pPr>
      <w:numPr>
        <w:ilvl w:val="7"/>
        <w:numId w:val="1"/>
      </w:numPr>
      <w:ind w:left="680" w:hanging="150"/>
      <w:spacing w:line="460" w:lineRule="exact"/>
      <w:tabs>
        <w:tab w:val="clear" w:pos="860" w:leader="none"/>
      </w:tabs>
      <w:outlineLvl w:val="7"/>
    </w:pPr>
    <w:rPr>
      <w:rFonts w:ascii="宋体"/>
      <w:sz w:val="28"/>
      <w:szCs w:val="20"/>
    </w:rPr>
  </w:style>
  <w:style w:type="paragraph" w:styleId="1194">
    <w:name w:val="xl39"/>
    <w:basedOn w:val="1070"/>
    <w:next w:val="119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5">
    <w:name w:val="xl37"/>
    <w:basedOn w:val="1070"/>
    <w:next w:val="1195"/>
    <w:link w:val="107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6">
    <w:name w:val="xl32"/>
    <w:basedOn w:val="1070"/>
    <w:next w:val="1196"/>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7">
    <w:name w:val="font8"/>
    <w:basedOn w:val="1070"/>
    <w:next w:val="1197"/>
    <w:link w:val="1070"/>
    <w:qFormat/>
    <w:pPr>
      <w:jc w:val="left"/>
      <w:spacing w:before="100" w:beforeAutospacing="1" w:after="100" w:afterAutospacing="1"/>
      <w:widowControl/>
    </w:pPr>
    <w:rPr>
      <w:sz w:val="36"/>
      <w:szCs w:val="36"/>
    </w:rPr>
  </w:style>
  <w:style w:type="paragraph" w:styleId="1198">
    <w:name w:val="Char"/>
    <w:basedOn w:val="1070"/>
    <w:next w:val="1198"/>
    <w:link w:val="1070"/>
    <w:qFormat/>
    <w:pPr>
      <w:tabs>
        <w:tab w:val="left" w:pos="360" w:leader="none"/>
      </w:tabs>
    </w:pPr>
    <w:rPr>
      <w:sz w:val="24"/>
    </w:rPr>
  </w:style>
  <w:style w:type="paragraph" w:styleId="1199">
    <w:name w:val="Char Char Char Char Char Char Char Char Char Char Char Char Char Char Char Char"/>
    <w:basedOn w:val="1070"/>
    <w:next w:val="1199"/>
    <w:link w:val="1070"/>
    <w:qFormat/>
    <w:pPr>
      <w:jc w:val="center"/>
      <w:spacing w:after="160" w:line="240" w:lineRule="exact"/>
      <w:widowControl/>
    </w:pPr>
    <w:rPr>
      <w:rFonts w:ascii="宋体" w:hAnsi="宋体"/>
      <w:b/>
      <w:sz w:val="30"/>
      <w:szCs w:val="30"/>
      <w:lang w:eastAsia="en-US"/>
    </w:rPr>
  </w:style>
  <w:style w:type="paragraph" w:styleId="1200">
    <w:name w:val="xl45"/>
    <w:basedOn w:val="1070"/>
    <w:next w:val="1200"/>
    <w:link w:val="107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1">
    <w:name w:val="Char Char1 Char Char Char Char Char Char"/>
    <w:basedOn w:val="1070"/>
    <w:next w:val="1201"/>
    <w:link w:val="1070"/>
    <w:qFormat/>
    <w:pPr>
      <w:jc w:val="left"/>
      <w:spacing w:after="160" w:line="240" w:lineRule="exact"/>
      <w:widowControl/>
    </w:pPr>
    <w:rPr>
      <w:rFonts w:ascii="Verdana" w:hAnsi="Verdana" w:eastAsia="仿宋_GB2312"/>
      <w:sz w:val="24"/>
      <w:szCs w:val="20"/>
      <w:lang w:eastAsia="en-US"/>
    </w:rPr>
  </w:style>
  <w:style w:type="paragraph" w:styleId="1202">
    <w:name w:val="Char Char1"/>
    <w:basedOn w:val="1096"/>
    <w:next w:val="1202"/>
    <w:link w:val="1070"/>
    <w:qFormat/>
    <w:rPr>
      <w:rFonts w:ascii="Tahoma" w:hAnsi="Tahoma"/>
      <w:sz w:val="24"/>
    </w:rPr>
  </w:style>
  <w:style w:type="paragraph" w:styleId="1203">
    <w:name w:val="xl26"/>
    <w:basedOn w:val="1070"/>
    <w:next w:val="1203"/>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4">
    <w:name w:val="xl30"/>
    <w:basedOn w:val="1070"/>
    <w:next w:val="120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5">
    <w:name w:val="xl41"/>
    <w:basedOn w:val="1070"/>
    <w:next w:val="1205"/>
    <w:link w:val="107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6">
    <w:name w:val="样式 宋体 五号 行距: 单倍行距"/>
    <w:basedOn w:val="1070"/>
    <w:next w:val="1206"/>
    <w:link w:val="1070"/>
    <w:qFormat/>
    <w:pPr>
      <w:jc w:val="left"/>
    </w:pPr>
    <w:rPr>
      <w:rFonts w:ascii="宋体" w:hAnsi="宋体"/>
      <w:szCs w:val="20"/>
    </w:rPr>
  </w:style>
  <w:style w:type="paragraph" w:styleId="1207">
    <w:name w:val="Char1 Char Char Char1"/>
    <w:basedOn w:val="1070"/>
    <w:next w:val="1207"/>
    <w:link w:val="1070"/>
    <w:qFormat/>
    <w:rPr>
      <w:rFonts w:ascii="Tahoma" w:hAnsi="Tahoma" w:cs="仿宋_GB2312"/>
      <w:sz w:val="24"/>
      <w:szCs w:val="28"/>
    </w:rPr>
  </w:style>
  <w:style w:type="paragraph" w:styleId="1208">
    <w:name w:val="四级条标题"/>
    <w:basedOn w:val="1209"/>
    <w:next w:val="1070"/>
    <w:link w:val="1070"/>
    <w:qFormat/>
    <w:pPr>
      <w:numPr>
        <w:ilvl w:val="4"/>
      </w:numPr>
      <w:ind w:left="0" w:hanging="840"/>
      <w:tabs>
        <w:tab w:val="left" w:pos="360" w:leader="none"/>
        <w:tab w:val="left" w:pos="840" w:leader="none"/>
      </w:tabs>
      <w:outlineLvl w:val="4"/>
    </w:pPr>
  </w:style>
  <w:style w:type="paragraph" w:styleId="1209">
    <w:name w:val="三级条标题"/>
    <w:basedOn w:val="1171"/>
    <w:next w:val="1070"/>
    <w:link w:val="1070"/>
    <w:qFormat/>
    <w:pPr>
      <w:numPr>
        <w:ilvl w:val="3"/>
        <w:numId w:val="1"/>
      </w:numPr>
      <w:ind w:left="0" w:hanging="840"/>
      <w:tabs>
        <w:tab w:val="left" w:pos="360" w:leader="none"/>
        <w:tab w:val="left" w:pos="840" w:leader="none"/>
      </w:tabs>
      <w:outlineLvl w:val="3"/>
    </w:pPr>
  </w:style>
  <w:style w:type="paragraph" w:styleId="1210">
    <w:name w:val="??"/>
    <w:next w:val="1210"/>
    <w:link w:val="1070"/>
    <w:qFormat/>
    <w:pPr>
      <w:jc w:val="both"/>
      <w:widowControl w:val="off"/>
    </w:pPr>
    <w:rPr>
      <w:sz w:val="21"/>
      <w:lang w:val="en-US" w:eastAsia="en-US" w:bidi="ar-SA"/>
    </w:rPr>
  </w:style>
  <w:style w:type="paragraph" w:styleId="1211">
    <w:name w:val="样式 标题 2 + 宋体 五号 行距: 单倍行距"/>
    <w:basedOn w:val="1072"/>
    <w:next w:val="1211"/>
    <w:link w:val="1070"/>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2">
    <w:name w:val="List Paragraph1"/>
    <w:basedOn w:val="1070"/>
    <w:next w:val="1212"/>
    <w:link w:val="1070"/>
    <w:qFormat/>
    <w:pPr>
      <w:ind w:firstLine="420"/>
    </w:pPr>
    <w:rPr>
      <w:rFonts w:ascii="Calibri" w:hAnsi="Calibri"/>
      <w:szCs w:val="22"/>
    </w:rPr>
  </w:style>
  <w:style w:type="paragraph" w:styleId="1213">
    <w:name w:val="项目符号1"/>
    <w:basedOn w:val="1214"/>
    <w:next w:val="1213"/>
    <w:link w:val="1070"/>
    <w:qFormat/>
    <w:pPr>
      <w:ind w:left="-25" w:firstLine="0"/>
    </w:pPr>
  </w:style>
  <w:style w:type="paragraph" w:styleId="1214">
    <w:name w:val="正文文本样式"/>
    <w:basedOn w:val="1070"/>
    <w:next w:val="1214"/>
    <w:link w:val="1070"/>
    <w:qFormat/>
    <w:pPr>
      <w:ind w:firstLine="482"/>
      <w:spacing w:line="360" w:lineRule="auto"/>
    </w:pPr>
    <w:rPr>
      <w:rFonts w:cs="宋体"/>
      <w:sz w:val="24"/>
      <w:szCs w:val="20"/>
    </w:rPr>
  </w:style>
  <w:style w:type="paragraph" w:styleId="1215">
    <w:name w:val="xl27"/>
    <w:basedOn w:val="1070"/>
    <w:next w:val="121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6">
    <w:name w:val="font5"/>
    <w:basedOn w:val="1070"/>
    <w:next w:val="1216"/>
    <w:link w:val="1070"/>
    <w:qFormat/>
    <w:pPr>
      <w:jc w:val="left"/>
      <w:spacing w:before="100" w:beforeAutospacing="1" w:after="100" w:afterAutospacing="1"/>
      <w:widowControl/>
    </w:pPr>
    <w:rPr>
      <w:rFonts w:ascii="宋体" w:hAnsi="宋体" w:cs="宋体"/>
      <w:sz w:val="18"/>
      <w:szCs w:val="18"/>
    </w:rPr>
  </w:style>
  <w:style w:type="paragraph" w:styleId="1217">
    <w:name w:val="五级条标题"/>
    <w:basedOn w:val="1208"/>
    <w:next w:val="1070"/>
    <w:link w:val="1070"/>
    <w:qFormat/>
    <w:pPr>
      <w:numPr>
        <w:ilvl w:val="5"/>
      </w:numPr>
      <w:ind w:left="0" w:hanging="840"/>
      <w:tabs>
        <w:tab w:val="left" w:pos="360" w:leader="none"/>
        <w:tab w:val="left" w:pos="840" w:leader="none"/>
      </w:tabs>
      <w:outlineLvl w:val="5"/>
    </w:pPr>
  </w:style>
  <w:style w:type="paragraph" w:styleId="1218">
    <w:name w:val="xl49"/>
    <w:basedOn w:val="1070"/>
    <w:next w:val="1218"/>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name w:val="文档正文"/>
    <w:basedOn w:val="1070"/>
    <w:next w:val="1219"/>
    <w:link w:val="1070"/>
    <w:qFormat/>
    <w:pPr>
      <w:spacing w:before="120" w:after="120" w:line="180" w:lineRule="auto"/>
    </w:pPr>
    <w:rPr>
      <w:rFonts w:ascii="Arial" w:hAnsi="Arial"/>
      <w:szCs w:val="20"/>
    </w:rPr>
  </w:style>
  <w:style w:type="paragraph" w:styleId="1220">
    <w:name w:val="xl33"/>
    <w:basedOn w:val="1070"/>
    <w:next w:val="1220"/>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1">
    <w:name w:val="xl42"/>
    <w:basedOn w:val="1070"/>
    <w:next w:val="122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2">
    <w:name w:val="Char Char Char1 Char"/>
    <w:basedOn w:val="1070"/>
    <w:next w:val="1222"/>
    <w:link w:val="1070"/>
    <w:qFormat/>
    <w:rPr>
      <w:rFonts w:ascii="Tahoma" w:hAnsi="Tahoma"/>
      <w:sz w:val="24"/>
      <w:szCs w:val="20"/>
    </w:rPr>
  </w:style>
  <w:style w:type="paragraph" w:styleId="1223">
    <w:name w:val="xl44"/>
    <w:basedOn w:val="1070"/>
    <w:next w:val="1223"/>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4">
    <w:name w:val="1名"/>
    <w:basedOn w:val="1070"/>
    <w:next w:val="1224"/>
    <w:link w:val="1070"/>
    <w:qFormat/>
    <w:pPr>
      <w:numPr>
        <w:ilvl w:val="0"/>
        <w:numId w:val="5"/>
      </w:numPr>
      <w:spacing w:before="120"/>
      <w:tabs>
        <w:tab w:val="left" w:pos="360" w:leader="none"/>
      </w:tabs>
    </w:pPr>
    <w:rPr>
      <w:rFonts w:ascii="宋体"/>
      <w:sz w:val="28"/>
      <w:szCs w:val="20"/>
    </w:rPr>
  </w:style>
  <w:style w:type="paragraph" w:styleId="1225">
    <w:name w:val="font9"/>
    <w:basedOn w:val="1070"/>
    <w:next w:val="1225"/>
    <w:link w:val="1070"/>
    <w:qFormat/>
    <w:pPr>
      <w:jc w:val="left"/>
      <w:spacing w:before="100" w:beforeAutospacing="1" w:after="100" w:afterAutospacing="1"/>
      <w:widowControl/>
    </w:pPr>
    <w:rPr>
      <w:rFonts w:hint="eastAsia" w:ascii="宋体" w:hAnsi="宋体" w:cs="Arial Unicode MS"/>
      <w:color w:val="000000"/>
      <w:sz w:val="20"/>
      <w:szCs w:val="20"/>
    </w:rPr>
  </w:style>
  <w:style w:type="paragraph" w:styleId="1226">
    <w:name w:val="Char Char Char1 Char1"/>
    <w:basedOn w:val="1070"/>
    <w:next w:val="1226"/>
    <w:link w:val="1070"/>
    <w:qFormat/>
    <w:rPr>
      <w:rFonts w:ascii="Tahoma" w:hAnsi="Tahoma"/>
      <w:sz w:val="24"/>
      <w:szCs w:val="20"/>
    </w:rPr>
  </w:style>
  <w:style w:type="paragraph" w:styleId="1227">
    <w:name w:val="Char Char Char Char Char Char Char Char Char Char"/>
    <w:basedOn w:val="1070"/>
    <w:next w:val="1227"/>
    <w:link w:val="1070"/>
    <w:qFormat/>
  </w:style>
  <w:style w:type="paragraph" w:styleId="1228">
    <w:name w:val="Char Char1 Char Char Char Char Char Char Char Char"/>
    <w:basedOn w:val="1070"/>
    <w:next w:val="1228"/>
    <w:link w:val="1070"/>
    <w:qFormat/>
    <w:pPr>
      <w:jc w:val="left"/>
      <w:spacing w:after="160" w:line="240" w:lineRule="exact"/>
      <w:widowControl/>
    </w:pPr>
    <w:rPr>
      <w:rFonts w:ascii="Verdana" w:hAnsi="Verdana"/>
      <w:sz w:val="20"/>
      <w:szCs w:val="20"/>
      <w:lang w:eastAsia="en-US"/>
    </w:rPr>
  </w:style>
  <w:style w:type="paragraph" w:styleId="1229">
    <w:name w:val="Char1"/>
    <w:basedOn w:val="1070"/>
    <w:next w:val="1229"/>
    <w:link w:val="1070"/>
    <w:qFormat/>
    <w:pPr>
      <w:tabs>
        <w:tab w:val="left" w:pos="360" w:leader="none"/>
      </w:tabs>
    </w:pPr>
    <w:rPr>
      <w:sz w:val="24"/>
    </w:rPr>
  </w:style>
  <w:style w:type="paragraph" w:styleId="1230">
    <w:name w:val="正文列项_字母"/>
    <w:basedOn w:val="1070"/>
    <w:next w:val="1230"/>
    <w:link w:val="1070"/>
    <w:qFormat/>
    <w:pPr>
      <w:numPr>
        <w:ilvl w:val="6"/>
        <w:numId w:val="1"/>
      </w:numPr>
      <w:ind w:left="480" w:hanging="180"/>
      <w:spacing w:line="460" w:lineRule="exact"/>
      <w:tabs>
        <w:tab w:val="clear" w:pos="635" w:leader="none"/>
      </w:tabs>
      <w:outlineLvl w:val="6"/>
    </w:pPr>
    <w:rPr>
      <w:rFonts w:ascii="宋体"/>
      <w:sz w:val="28"/>
      <w:szCs w:val="20"/>
    </w:rPr>
  </w:style>
  <w:style w:type="paragraph" w:styleId="1231">
    <w:name w:val="xl28"/>
    <w:basedOn w:val="1070"/>
    <w:next w:val="1231"/>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2">
    <w:name w:val="xl47"/>
    <w:basedOn w:val="1070"/>
    <w:next w:val="1232"/>
    <w:link w:val="107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3">
    <w:name w:val="默认段落字体 Para Char Char Char Char"/>
    <w:basedOn w:val="1070"/>
    <w:next w:val="1233"/>
    <w:link w:val="1070"/>
    <w:qFormat/>
    <w:rPr>
      <w:rFonts w:ascii="Arial" w:hAnsi="Arial" w:cs="Arial"/>
      <w:szCs w:val="21"/>
    </w:rPr>
  </w:style>
  <w:style w:type="paragraph" w:styleId="1234">
    <w:name w:val="xl48"/>
    <w:basedOn w:val="1070"/>
    <w:next w:val="1234"/>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5">
    <w:name w:val="xl31"/>
    <w:basedOn w:val="1070"/>
    <w:next w:val="1235"/>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53"/>
    <w:basedOn w:val="1070"/>
    <w:next w:val="1236"/>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7">
    <w:name w:val="Char Char Char"/>
    <w:basedOn w:val="1070"/>
    <w:next w:val="1237"/>
    <w:link w:val="1070"/>
    <w:qFormat/>
    <w:rPr>
      <w:rFonts w:ascii="Tahoma" w:hAnsi="Tahoma"/>
      <w:sz w:val="24"/>
      <w:szCs w:val="20"/>
    </w:rPr>
  </w:style>
  <w:style w:type="paragraph" w:styleId="1238">
    <w:name w:val="xl50"/>
    <w:basedOn w:val="1070"/>
    <w:next w:val="1238"/>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39">
    <w:name w:val="缺省文本"/>
    <w:basedOn w:val="1070"/>
    <w:next w:val="1239"/>
    <w:link w:val="1070"/>
    <w:qFormat/>
    <w:pPr>
      <w:jc w:val="left"/>
    </w:pPr>
    <w:rPr>
      <w:sz w:val="24"/>
    </w:rPr>
  </w:style>
  <w:style w:type="paragraph" w:styleId="1240">
    <w:name w:val="Char Char Char1"/>
    <w:basedOn w:val="1070"/>
    <w:next w:val="1240"/>
    <w:link w:val="1070"/>
    <w:qFormat/>
    <w:rPr>
      <w:rFonts w:ascii="Tahoma" w:hAnsi="Tahoma"/>
      <w:sz w:val="24"/>
      <w:szCs w:val="20"/>
    </w:rPr>
  </w:style>
  <w:style w:type="paragraph" w:styleId="1241">
    <w:name w:val="Char Char Char Char Char Char Char1"/>
    <w:basedOn w:val="1070"/>
    <w:next w:val="1241"/>
    <w:link w:val="1070"/>
    <w:qFormat/>
    <w:pPr>
      <w:ind w:firstLine="200"/>
      <w:spacing w:line="360" w:lineRule="auto"/>
    </w:pPr>
    <w:rPr>
      <w:rFonts w:eastAsia="仿宋_GB2312"/>
      <w:sz w:val="24"/>
    </w:rPr>
  </w:style>
  <w:style w:type="paragraph" w:styleId="1242">
    <w:name w:val="xl51"/>
    <w:basedOn w:val="1070"/>
    <w:next w:val="1242"/>
    <w:link w:val="107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3">
    <w:name w:val="样式2"/>
    <w:basedOn w:val="1133"/>
    <w:next w:val="1243"/>
    <w:link w:val="1070"/>
    <w:qFormat/>
    <w:pPr>
      <w:jc w:val="center"/>
      <w:spacing w:line="360" w:lineRule="auto"/>
    </w:pPr>
    <w:rPr>
      <w:sz w:val="24"/>
    </w:rPr>
  </w:style>
  <w:style w:type="paragraph" w:styleId="1244">
    <w:name w:val="xl24"/>
    <w:basedOn w:val="1070"/>
    <w:next w:val="1244"/>
    <w:link w:val="107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5">
    <w:name w:val="xl29"/>
    <w:basedOn w:val="1070"/>
    <w:next w:val="1245"/>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6">
    <w:name w:val="正文 + 楷体_GB2312"/>
    <w:basedOn w:val="1070"/>
    <w:next w:val="1246"/>
    <w:link w:val="1070"/>
    <w:qFormat/>
    <w:pPr>
      <w:jc w:val="left"/>
      <w:widowControl/>
    </w:pPr>
    <w:rPr>
      <w:rFonts w:ascii="楷体_GB2312" w:eastAsia="楷体_GB2312" w:cs="Arial"/>
      <w:sz w:val="24"/>
    </w:rPr>
  </w:style>
  <w:style w:type="paragraph" w:styleId="1247">
    <w:name w:val="xl34"/>
    <w:basedOn w:val="1070"/>
    <w:next w:val="1247"/>
    <w:link w:val="107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48">
    <w:name w:val="1 Char Char Char Char"/>
    <w:basedOn w:val="1070"/>
    <w:next w:val="1248"/>
    <w:link w:val="1070"/>
    <w:qFormat/>
    <w:rPr>
      <w:rFonts w:ascii="Tahoma" w:hAnsi="Tahoma"/>
      <w:sz w:val="24"/>
      <w:szCs w:val="20"/>
    </w:rPr>
  </w:style>
  <w:style w:type="paragraph" w:styleId="1249">
    <w:name w:val="Default"/>
    <w:next w:val="1249"/>
    <w:link w:val="1070"/>
    <w:qFormat/>
    <w:pPr>
      <w:widowControl w:val="off"/>
    </w:pPr>
    <w:rPr>
      <w:rFonts w:ascii="Symbol" w:hAnsi="Symbol" w:cs="Symbol"/>
      <w:color w:val="000000"/>
      <w:sz w:val="24"/>
      <w:szCs w:val="24"/>
      <w:lang w:val="en-US" w:eastAsia="zh-CN" w:bidi="ar-SA"/>
    </w:rPr>
  </w:style>
  <w:style w:type="paragraph" w:styleId="1250">
    <w:name w:val="列出段落1"/>
    <w:basedOn w:val="1070"/>
    <w:next w:val="1250"/>
    <w:link w:val="1070"/>
    <w:qFormat/>
    <w:pPr>
      <w:ind w:firstLine="420"/>
    </w:pPr>
    <w:rPr>
      <w:rFonts w:ascii="Calibri" w:hAnsi="Calibri"/>
      <w:szCs w:val="22"/>
    </w:rPr>
  </w:style>
  <w:style w:type="paragraph" w:styleId="1251">
    <w:name w:val="default"/>
    <w:basedOn w:val="1070"/>
    <w:next w:val="1251"/>
    <w:link w:val="1070"/>
    <w:qFormat/>
    <w:pPr>
      <w:jc w:val="left"/>
      <w:spacing w:before="100" w:beforeAutospacing="1" w:after="100" w:afterAutospacing="1"/>
      <w:widowControl/>
    </w:pPr>
    <w:rPr>
      <w:rFonts w:ascii="宋体" w:hAnsi="宋体" w:cs="宋体"/>
      <w:sz w:val="24"/>
    </w:rPr>
  </w:style>
  <w:style w:type="paragraph" w:styleId="1252">
    <w:name w:val="字元 字元1"/>
    <w:basedOn w:val="1070"/>
    <w:next w:val="1252"/>
    <w:link w:val="1070"/>
    <w:qFormat/>
    <w:rPr>
      <w:rFonts w:ascii="Tahoma" w:hAnsi="Tahoma"/>
      <w:sz w:val="24"/>
      <w:szCs w:val="20"/>
    </w:rPr>
  </w:style>
  <w:style w:type="paragraph" w:styleId="1253">
    <w:name w:val="_Style 160"/>
    <w:next w:val="1253"/>
    <w:link w:val="1070"/>
    <w:qFormat/>
    <w:rPr>
      <w:sz w:val="21"/>
      <w:szCs w:val="24"/>
      <w:lang w:val="en-US" w:eastAsia="zh-CN" w:bidi="ar-SA"/>
    </w:rPr>
  </w:style>
  <w:style w:type="paragraph" w:styleId="1254">
    <w:name w:val="项目编号3"/>
    <w:basedOn w:val="1214"/>
    <w:next w:val="1254"/>
    <w:link w:val="1070"/>
    <w:qFormat/>
    <w:pPr>
      <w:numPr>
        <w:ilvl w:val="0"/>
        <w:numId w:val="6"/>
      </w:numPr>
    </w:pPr>
  </w:style>
  <w:style w:type="paragraph" w:styleId="1255">
    <w:name w:val="Char21"/>
    <w:basedOn w:val="1070"/>
    <w:next w:val="1255"/>
    <w:link w:val="1070"/>
    <w:qFormat/>
    <w:rPr>
      <w:rFonts w:ascii="Tahoma" w:hAnsi="Tahoma"/>
      <w:sz w:val="24"/>
      <w:szCs w:val="20"/>
    </w:rPr>
  </w:style>
  <w:style w:type="paragraph" w:styleId="1256">
    <w:name w:val="表格文字"/>
    <w:basedOn w:val="1104"/>
    <w:next w:val="1256"/>
    <w:link w:val="1070"/>
    <w:qFormat/>
    <w:pPr>
      <w:ind w:firstLine="0"/>
      <w:spacing w:before="20" w:after="20" w:line="240" w:lineRule="auto"/>
    </w:pPr>
    <w:rPr>
      <w:rFonts w:ascii="Century Gothic" w:hAnsi="Century Gothic"/>
      <w:sz w:val="20"/>
      <w:szCs w:val="20"/>
    </w:rPr>
  </w:style>
  <w:style w:type="paragraph" w:styleId="1257">
    <w:name w:val="Char Char Char Char Char Char Char Char Char Char1"/>
    <w:basedOn w:val="1070"/>
    <w:next w:val="1257"/>
    <w:link w:val="1070"/>
    <w:qFormat/>
    <w:rPr>
      <w:rFonts w:ascii="宋体" w:hAnsi="宋体" w:cs="Courier New"/>
      <w:sz w:val="32"/>
      <w:szCs w:val="32"/>
    </w:rPr>
  </w:style>
  <w:style w:type="paragraph" w:styleId="1258">
    <w:name w:val="正文文本样式 加粗"/>
    <w:basedOn w:val="1214"/>
    <w:next w:val="1258"/>
    <w:link w:val="1070"/>
    <w:qFormat/>
    <w:rPr>
      <w:b/>
    </w:rPr>
  </w:style>
  <w:style w:type="paragraph" w:styleId="1259">
    <w:name w:val="Char2 Char Char Char Char Char Char"/>
    <w:basedOn w:val="1070"/>
    <w:next w:val="1259"/>
    <w:link w:val="1070"/>
    <w:qFormat/>
    <w:pPr>
      <w:jc w:val="center"/>
      <w:spacing w:line="400" w:lineRule="exact"/>
      <w:widowControl/>
    </w:pPr>
  </w:style>
  <w:style w:type="paragraph" w:styleId="1260">
    <w:name w:val="Char Char4"/>
    <w:basedOn w:val="1070"/>
    <w:next w:val="1260"/>
    <w:link w:val="1070"/>
    <w:qFormat/>
    <w:pPr>
      <w:jc w:val="center"/>
      <w:spacing w:line="400" w:lineRule="exact"/>
      <w:widowControl/>
    </w:pPr>
  </w:style>
  <w:style w:type="paragraph" w:styleId="1261">
    <w:name w:val="Char3 Char Char Char1"/>
    <w:basedOn w:val="1070"/>
    <w:next w:val="1261"/>
    <w:link w:val="1070"/>
    <w:qFormat/>
    <w:rPr>
      <w:rFonts w:ascii="Tahoma" w:hAnsi="Tahoma"/>
      <w:sz w:val="24"/>
      <w:szCs w:val="20"/>
    </w:rPr>
  </w:style>
  <w:style w:type="paragraph" w:styleId="1262">
    <w:name w:val="无间隔"/>
    <w:next w:val="1262"/>
    <w:link w:val="1070"/>
    <w:qFormat/>
    <w:pPr>
      <w:jc w:val="both"/>
      <w:widowControl w:val="off"/>
    </w:pPr>
    <w:rPr>
      <w:sz w:val="21"/>
      <w:szCs w:val="24"/>
      <w:lang w:val="en-US" w:eastAsia="zh-CN" w:bidi="ar-SA"/>
    </w:rPr>
  </w:style>
  <w:style w:type="paragraph" w:styleId="1263">
    <w:name w:val="22222222222222"/>
    <w:basedOn w:val="1070"/>
    <w:next w:val="1263"/>
    <w:link w:val="1070"/>
    <w:qFormat/>
    <w:pPr>
      <w:ind w:firstLine="480"/>
      <w:jc w:val="left"/>
      <w:spacing w:line="360" w:lineRule="auto"/>
      <w:widowControl/>
    </w:pPr>
    <w:rPr>
      <w:color w:val="ff0000"/>
      <w:sz w:val="24"/>
      <w:szCs w:val="20"/>
    </w:rPr>
  </w:style>
  <w:style w:type="character" w:styleId="1264">
    <w:name w:val="中等深浅网格 1 - 强调文字颜色 2 Char"/>
    <w:next w:val="1264"/>
    <w:link w:val="1265"/>
    <w:qFormat/>
    <w:rPr>
      <w:sz w:val="21"/>
      <w:szCs w:val="24"/>
      <w:lang w:val="zh-CN" w:eastAsia="zh-CN" w:bidi="ar-SA"/>
    </w:rPr>
  </w:style>
  <w:style w:type="paragraph" w:styleId="1265">
    <w:name w:val="1"/>
    <w:next w:val="1265"/>
    <w:link w:val="1264"/>
    <w:qFormat/>
    <w:rPr>
      <w:sz w:val="21"/>
      <w:szCs w:val="24"/>
      <w:lang w:val="zh-CN" w:eastAsia="zh-CN" w:bidi="ar-SA"/>
    </w:rPr>
  </w:style>
  <w:style w:type="paragraph" w:styleId="1266">
    <w:name w:val="图文"/>
    <w:basedOn w:val="1070"/>
    <w:next w:val="1266"/>
    <w:link w:val="1070"/>
    <w:qFormat/>
    <w:pPr>
      <w:spacing w:after="50" w:line="360" w:lineRule="auto"/>
    </w:pPr>
    <w:rPr>
      <w:sz w:val="24"/>
    </w:rPr>
  </w:style>
  <w:style w:type="paragraph" w:styleId="1267">
    <w:name w:val="xl23"/>
    <w:basedOn w:val="1070"/>
    <w:next w:val="1267"/>
    <w:link w:val="1070"/>
    <w:qFormat/>
    <w:pPr>
      <w:spacing w:before="100" w:beforeAutospacing="1" w:after="100" w:afterAutospacing="1" w:line="360" w:lineRule="auto"/>
      <w:widowControl/>
    </w:pPr>
    <w:rPr>
      <w:sz w:val="24"/>
      <w:szCs w:val="20"/>
    </w:rPr>
  </w:style>
  <w:style w:type="paragraph" w:styleId="1268">
    <w:name w:val="正文表格"/>
    <w:basedOn w:val="1070"/>
    <w:next w:val="1268"/>
    <w:link w:val="1269"/>
    <w:qFormat/>
    <w:pPr>
      <w:jc w:val="left"/>
    </w:pPr>
    <w:rPr>
      <w:rFonts w:ascii="宋体" w:hAnsi="宋体"/>
      <w:color w:val="000000"/>
      <w:szCs w:val="21"/>
    </w:rPr>
  </w:style>
  <w:style w:type="character" w:styleId="1269">
    <w:name w:val="正文表格 Char"/>
    <w:next w:val="1269"/>
    <w:link w:val="1268"/>
    <w:qFormat/>
    <w:rPr>
      <w:rFonts w:ascii="宋体" w:hAnsi="宋体"/>
      <w:color w:val="000000"/>
      <w:sz w:val="21"/>
      <w:szCs w:val="21"/>
    </w:rPr>
  </w:style>
  <w:style w:type="paragraph" w:styleId="1270">
    <w:name w:val="正文重点"/>
    <w:basedOn w:val="1070"/>
    <w:next w:val="1270"/>
    <w:link w:val="1271"/>
    <w:qFormat/>
    <w:pPr>
      <w:ind w:firstLine="482"/>
      <w:jc w:val="left"/>
      <w:spacing w:line="360" w:lineRule="auto"/>
    </w:pPr>
    <w:rPr>
      <w:b/>
      <w:sz w:val="24"/>
      <w:szCs w:val="20"/>
    </w:rPr>
  </w:style>
  <w:style w:type="character" w:styleId="1271">
    <w:name w:val="正文重点 Char"/>
    <w:next w:val="1271"/>
    <w:link w:val="1270"/>
    <w:qFormat/>
    <w:rPr>
      <w:b/>
      <w:sz w:val="24"/>
    </w:rPr>
  </w:style>
  <w:style w:type="paragraph" w:styleId="1272">
    <w:name w:val="标题1-附件"/>
    <w:basedOn w:val="1071"/>
    <w:next w:val="1272"/>
    <w:link w:val="1070"/>
    <w:qFormat/>
    <w:pPr>
      <w:jc w:val="left"/>
    </w:pPr>
    <w:rPr>
      <w:sz w:val="24"/>
      <w:szCs w:val="24"/>
    </w:rPr>
  </w:style>
  <w:style w:type="paragraph" w:styleId="1273">
    <w:name w:val="正文小标题"/>
    <w:basedOn w:val="1070"/>
    <w:next w:val="1085"/>
    <w:link w:val="1274"/>
    <w:qFormat/>
    <w:pPr>
      <w:ind w:firstLine="482"/>
      <w:jc w:val="left"/>
      <w:spacing w:before="312" w:after="312"/>
    </w:pPr>
    <w:rPr>
      <w:rFonts w:ascii="宋体" w:hAnsi="宋体"/>
      <w:b/>
      <w:i/>
      <w:color w:val="ff0000"/>
      <w:sz w:val="24"/>
      <w:szCs w:val="20"/>
    </w:rPr>
  </w:style>
  <w:style w:type="character" w:styleId="1274">
    <w:name w:val="正文小标题 Char"/>
    <w:next w:val="1274"/>
    <w:link w:val="1273"/>
    <w:qFormat/>
    <w:rPr>
      <w:rFonts w:ascii="宋体" w:hAnsi="宋体"/>
      <w:b/>
      <w:i/>
      <w:color w:val="ff0000"/>
      <w:sz w:val="24"/>
    </w:rPr>
  </w:style>
  <w:style w:type="paragraph" w:styleId="1275">
    <w:name w:val="正文大标题"/>
    <w:basedOn w:val="1273"/>
    <w:next w:val="1085"/>
    <w:link w:val="1276"/>
    <w:qFormat/>
    <w:pPr>
      <w:jc w:val="center"/>
    </w:pPr>
    <w:rPr>
      <w:i w:val="0"/>
      <w:color w:val="000000"/>
      <w:sz w:val="28"/>
      <w:szCs w:val="21"/>
    </w:rPr>
  </w:style>
  <w:style w:type="character" w:styleId="1276">
    <w:name w:val="正文大标题 Char"/>
    <w:next w:val="1276"/>
    <w:link w:val="1275"/>
    <w:qFormat/>
    <w:rPr>
      <w:rFonts w:ascii="宋体" w:hAnsi="宋体"/>
      <w:b/>
      <w:color w:val="000000"/>
      <w:sz w:val="28"/>
      <w:szCs w:val="21"/>
    </w:rPr>
  </w:style>
  <w:style w:type="paragraph" w:styleId="1277">
    <w:name w:val="注释"/>
    <w:basedOn w:val="1070"/>
    <w:next w:val="1277"/>
    <w:link w:val="1278"/>
    <w:qFormat/>
    <w:pPr>
      <w:ind w:left="420" w:hanging="420"/>
      <w:jc w:val="left"/>
    </w:pPr>
    <w:rPr>
      <w:rFonts w:ascii="宋体" w:hAnsi="宋体"/>
      <w:szCs w:val="21"/>
    </w:rPr>
  </w:style>
  <w:style w:type="character" w:styleId="1278">
    <w:name w:val="注释 Char"/>
    <w:next w:val="1278"/>
    <w:link w:val="1277"/>
    <w:qFormat/>
    <w:rPr>
      <w:rFonts w:ascii="宋体" w:hAnsi="宋体"/>
      <w:sz w:val="21"/>
      <w:szCs w:val="21"/>
    </w:rPr>
  </w:style>
  <w:style w:type="paragraph" w:styleId="1279">
    <w:name w:val="正文须知-1级"/>
    <w:basedOn w:val="1070"/>
    <w:next w:val="1070"/>
    <w:link w:val="1070"/>
    <w:qFormat/>
    <w:pPr>
      <w:numPr>
        <w:ilvl w:val="0"/>
        <w:numId w:val="7"/>
      </w:numPr>
      <w:spacing w:line="300" w:lineRule="auto"/>
    </w:pPr>
    <w:rPr>
      <w:rFonts w:ascii="宋体" w:hAnsi="Calibri"/>
      <w:sz w:val="24"/>
      <w:szCs w:val="21"/>
    </w:rPr>
  </w:style>
  <w:style w:type="paragraph" w:styleId="1280">
    <w:name w:val="正文须知-2级"/>
    <w:basedOn w:val="1070"/>
    <w:next w:val="1280"/>
    <w:link w:val="1070"/>
    <w:qFormat/>
    <w:pPr>
      <w:numPr>
        <w:ilvl w:val="1"/>
        <w:numId w:val="7"/>
      </w:numPr>
      <w:spacing w:line="300" w:lineRule="auto"/>
    </w:pPr>
    <w:rPr>
      <w:rFonts w:ascii="宋体" w:hAnsi="Calibri"/>
      <w:sz w:val="24"/>
      <w:szCs w:val="21"/>
    </w:rPr>
  </w:style>
  <w:style w:type="paragraph" w:styleId="1281">
    <w:name w:val="正文须知-3级"/>
    <w:basedOn w:val="1070"/>
    <w:next w:val="1281"/>
    <w:link w:val="1070"/>
    <w:qFormat/>
    <w:pPr>
      <w:numPr>
        <w:ilvl w:val="2"/>
        <w:numId w:val="7"/>
      </w:numPr>
      <w:ind w:hanging="355"/>
      <w:spacing w:line="300" w:lineRule="auto"/>
    </w:pPr>
    <w:rPr>
      <w:rFonts w:ascii="宋体" w:hAnsi="Calibri"/>
      <w:sz w:val="24"/>
      <w:szCs w:val="21"/>
    </w:rPr>
  </w:style>
  <w:style w:type="character" w:styleId="1282">
    <w:name w:val="纯文本 字符"/>
    <w:next w:val="1282"/>
    <w:link w:val="1070"/>
    <w:uiPriority w:val="99"/>
    <w:qFormat/>
    <w:rPr>
      <w:rFonts w:ascii="宋体" w:hAnsi="Courier New" w:eastAsia="宋体" w:cs="Times New Roman"/>
      <w:sz w:val="21"/>
      <w:szCs w:val="21"/>
      <w:lang w:val="en-US" w:eastAsia="zh-CN" w:bidi="ar-SA"/>
    </w:rPr>
  </w:style>
  <w:style w:type="paragraph" w:styleId="1283">
    <w:name w:val="表格1"/>
    <w:basedOn w:val="1070"/>
    <w:next w:val="1283"/>
    <w:link w:val="1070"/>
    <w:qFormat/>
    <w:pPr>
      <w:ind w:firstLine="480"/>
      <w:jc w:val="center"/>
    </w:pPr>
    <w:rPr>
      <w:sz w:val="24"/>
      <w:szCs w:val="20"/>
    </w:rPr>
  </w:style>
  <w:style w:type="character" w:styleId="1284">
    <w:name w:val="纯文本 字符1"/>
    <w:next w:val="1284"/>
    <w:link w:val="1070"/>
    <w:qFormat/>
    <w:rPr>
      <w:rFonts w:ascii="宋体" w:hAnsi="Courier New"/>
    </w:rPr>
  </w:style>
  <w:style w:type="character" w:styleId="1285">
    <w:name w:val="bjh-p"/>
    <w:next w:val="1285"/>
    <w:link w:val="1070"/>
    <w:qFormat/>
  </w:style>
  <w:style w:type="paragraph" w:styleId="1286">
    <w:name w:val="无标题条"/>
    <w:next w:val="1070"/>
    <w:link w:val="1070"/>
    <w:qFormat/>
    <w:pPr>
      <w:jc w:val="both"/>
    </w:pPr>
    <w:rPr>
      <w:sz w:val="21"/>
      <w:lang w:val="en-US" w:eastAsia="zh-CN" w:bidi="ar-SA"/>
    </w:rPr>
  </w:style>
  <w:style w:type="character" w:styleId="1287">
    <w:name w:val="正文格式 Char"/>
    <w:next w:val="1287"/>
    <w:link w:val="1288"/>
    <w:qFormat/>
    <w:rPr>
      <w:rFonts w:ascii="宋体" w:hAnsi="宋体"/>
      <w:sz w:val="24"/>
      <w:szCs w:val="24"/>
      <w:lang w:val="en-GB"/>
    </w:rPr>
  </w:style>
  <w:style w:type="paragraph" w:styleId="1288">
    <w:name w:val="正文格式"/>
    <w:basedOn w:val="1070"/>
    <w:next w:val="1288"/>
    <w:link w:val="1287"/>
    <w:qFormat/>
    <w:pPr>
      <w:ind w:firstLine="480"/>
      <w:spacing w:line="360" w:lineRule="auto"/>
    </w:pPr>
    <w:rPr>
      <w:rFonts w:ascii="宋体" w:hAnsi="宋体"/>
      <w:sz w:val="24"/>
      <w:lang w:val="en-GB"/>
    </w:rPr>
  </w:style>
  <w:style w:type="character" w:styleId="1289">
    <w:name w:val="标题 3 Char"/>
    <w:next w:val="1289"/>
    <w:link w:val="1070"/>
    <w:qFormat/>
    <w:rPr>
      <w:rFonts w:ascii="宋体" w:eastAsia="宋体"/>
      <w:b/>
      <w:sz w:val="24"/>
      <w:u w:val="single"/>
      <w:lang w:val="en-US" w:eastAsia="zh-CN" w:bidi="ar-SA"/>
    </w:rPr>
  </w:style>
  <w:style w:type="character" w:styleId="1290">
    <w:name w:val="正文缩进 Char"/>
    <w:next w:val="1290"/>
    <w:link w:val="1070"/>
    <w:qFormat/>
    <w:rPr>
      <w:rFonts w:ascii="宋体" w:eastAsia="宋体"/>
      <w:sz w:val="24"/>
      <w:szCs w:val="24"/>
      <w:lang w:val="en-US" w:eastAsia="zh-CN" w:bidi="ar-SA"/>
    </w:rPr>
  </w:style>
  <w:style w:type="character" w:styleId="1291">
    <w:name w:val="Char Char111"/>
    <w:next w:val="1291"/>
    <w:link w:val="1070"/>
    <w:qFormat/>
    <w:rPr>
      <w:rFonts w:ascii="宋体" w:eastAsia="宋体"/>
      <w:b/>
      <w:sz w:val="24"/>
      <w:u w:val="single"/>
      <w:lang w:val="en-US" w:eastAsia="zh-CN" w:bidi="ar-SA"/>
    </w:rPr>
  </w:style>
  <w:style w:type="character" w:styleId="1292">
    <w:name w:val="正文文本缩进 Char"/>
    <w:next w:val="1292"/>
    <w:link w:val="1070"/>
    <w:qFormat/>
    <w:rPr>
      <w:rFonts w:eastAsia="宋体"/>
      <w:sz w:val="24"/>
      <w:szCs w:val="24"/>
      <w:lang w:val="en-US" w:eastAsia="zh-CN" w:bidi="ar-SA"/>
    </w:rPr>
  </w:style>
  <w:style w:type="character" w:styleId="1293">
    <w:name w:val="列出段落 Char"/>
    <w:next w:val="1293"/>
    <w:link w:val="1070"/>
    <w:qFormat/>
    <w:rPr>
      <w:rFonts w:ascii="Calibri" w:hAnsi="Calibri" w:eastAsia="宋体"/>
      <w:sz w:val="21"/>
      <w:szCs w:val="22"/>
      <w:lang w:val="en-US" w:eastAsia="zh-CN" w:bidi="ar-SA"/>
    </w:rPr>
  </w:style>
  <w:style w:type="character" w:styleId="1294">
    <w:name w:val="页眉 Char"/>
    <w:next w:val="1294"/>
    <w:link w:val="1070"/>
    <w:qFormat/>
    <w:rPr>
      <w:rFonts w:eastAsia="宋体"/>
      <w:sz w:val="18"/>
      <w:szCs w:val="18"/>
      <w:lang w:val="en-US" w:eastAsia="zh-CN" w:bidi="ar-SA"/>
    </w:rPr>
  </w:style>
  <w:style w:type="character" w:styleId="1295">
    <w:name w:val="标题 2 Char"/>
    <w:next w:val="1295"/>
    <w:link w:val="1070"/>
    <w:qFormat/>
    <w:rPr>
      <w:rFonts w:ascii="Arial" w:hAnsi="Arial" w:eastAsia="黑体"/>
      <w:b/>
      <w:sz w:val="30"/>
      <w:lang w:val="en-US" w:eastAsia="zh-CN" w:bidi="ar-SA"/>
    </w:rPr>
  </w:style>
  <w:style w:type="paragraph" w:styleId="1296">
    <w:name w:val="字元 字元2"/>
    <w:basedOn w:val="1070"/>
    <w:next w:val="1296"/>
    <w:link w:val="1070"/>
    <w:qFormat/>
    <w:rPr>
      <w:rFonts w:ascii="Tahoma" w:hAnsi="Tahoma"/>
      <w:sz w:val="24"/>
      <w:szCs w:val="20"/>
    </w:rPr>
  </w:style>
  <w:style w:type="paragraph" w:styleId="1297">
    <w:name w:val="Char3 Char Char Char2"/>
    <w:basedOn w:val="1070"/>
    <w:next w:val="1297"/>
    <w:link w:val="1070"/>
    <w:qFormat/>
    <w:rPr>
      <w:rFonts w:ascii="Tahoma" w:hAnsi="Tahoma"/>
      <w:sz w:val="24"/>
      <w:szCs w:val="20"/>
    </w:rPr>
  </w:style>
  <w:style w:type="paragraph" w:styleId="1298">
    <w:name w:val="正文文本缩进2"/>
    <w:basedOn w:val="1070"/>
    <w:next w:val="1298"/>
    <w:link w:val="1070"/>
    <w:qFormat/>
    <w:pPr>
      <w:ind w:firstLine="480"/>
      <w:spacing w:line="480" w:lineRule="exact"/>
    </w:pPr>
    <w:rPr>
      <w:rFonts w:ascii="宋体" w:hAnsi="宋体"/>
      <w:sz w:val="24"/>
      <w:lang w:val="zh-CN" w:eastAsia="zh-CN"/>
    </w:rPr>
  </w:style>
  <w:style w:type="paragraph" w:styleId="1299">
    <w:name w:val="Char3"/>
    <w:basedOn w:val="1070"/>
    <w:next w:val="1299"/>
    <w:link w:val="1070"/>
    <w:qFormat/>
    <w:pPr>
      <w:tabs>
        <w:tab w:val="left" w:pos="360" w:leader="none"/>
      </w:tabs>
    </w:pPr>
    <w:rPr>
      <w:sz w:val="24"/>
    </w:rPr>
  </w:style>
  <w:style w:type="paragraph" w:styleId="1300">
    <w:name w:val="Char Char Char Char Char Char Char Char Char Char Char Char Char Char Char Char1"/>
    <w:basedOn w:val="1070"/>
    <w:next w:val="1300"/>
    <w:link w:val="1070"/>
    <w:qFormat/>
    <w:pPr>
      <w:jc w:val="center"/>
      <w:spacing w:after="160" w:line="240" w:lineRule="exact"/>
      <w:widowControl/>
    </w:pPr>
    <w:rPr>
      <w:rFonts w:ascii="宋体" w:hAnsi="宋体"/>
      <w:b/>
      <w:sz w:val="30"/>
      <w:szCs w:val="30"/>
      <w:lang w:eastAsia="en-US"/>
    </w:rPr>
  </w:style>
  <w:style w:type="paragraph" w:styleId="1301">
    <w:name w:val="Char Char1 Char Char Char Char Char Char1"/>
    <w:basedOn w:val="1070"/>
    <w:next w:val="1301"/>
    <w:link w:val="1070"/>
    <w:qFormat/>
    <w:pPr>
      <w:jc w:val="left"/>
      <w:spacing w:after="160" w:line="240" w:lineRule="exact"/>
      <w:widowControl/>
    </w:pPr>
    <w:rPr>
      <w:rFonts w:ascii="Verdana" w:hAnsi="Verdana" w:eastAsia="仿宋_GB2312"/>
      <w:sz w:val="24"/>
      <w:szCs w:val="20"/>
      <w:lang w:eastAsia="en-US"/>
    </w:rPr>
  </w:style>
  <w:style w:type="paragraph" w:styleId="1302">
    <w:name w:val="列出段落2"/>
    <w:basedOn w:val="1070"/>
    <w:next w:val="1302"/>
    <w:link w:val="1070"/>
    <w:qFormat/>
    <w:pPr>
      <w:ind w:firstLine="420"/>
    </w:pPr>
    <w:rPr>
      <w:rFonts w:ascii="Calibri" w:hAnsi="Calibri"/>
      <w:szCs w:val="22"/>
    </w:rPr>
  </w:style>
  <w:style w:type="paragraph" w:styleId="1303">
    <w:name w:val="Char Char Char1 Char2"/>
    <w:basedOn w:val="1070"/>
    <w:next w:val="1303"/>
    <w:link w:val="1070"/>
    <w:qFormat/>
    <w:rPr>
      <w:rFonts w:ascii="Tahoma" w:hAnsi="Tahoma"/>
      <w:sz w:val="24"/>
      <w:szCs w:val="20"/>
    </w:rPr>
  </w:style>
  <w:style w:type="paragraph" w:styleId="1304">
    <w:name w:val="Char Char Char2"/>
    <w:basedOn w:val="1070"/>
    <w:next w:val="1304"/>
    <w:link w:val="1070"/>
    <w:qFormat/>
    <w:rPr>
      <w:rFonts w:ascii="Tahoma" w:hAnsi="Tahoma"/>
      <w:sz w:val="24"/>
      <w:szCs w:val="20"/>
    </w:rPr>
  </w:style>
  <w:style w:type="paragraph" w:styleId="1305">
    <w:name w:val="Char Char Char Char Char Char Char2"/>
    <w:basedOn w:val="1070"/>
    <w:next w:val="1305"/>
    <w:link w:val="1070"/>
    <w:qFormat/>
    <w:pPr>
      <w:ind w:firstLine="200"/>
      <w:spacing w:line="360" w:lineRule="auto"/>
    </w:pPr>
    <w:rPr>
      <w:rFonts w:eastAsia="仿宋_GB2312"/>
      <w:sz w:val="24"/>
    </w:rPr>
  </w:style>
  <w:style w:type="paragraph" w:styleId="1306">
    <w:name w:val="正文缩进2"/>
    <w:basedOn w:val="1070"/>
    <w:next w:val="1306"/>
    <w:link w:val="1070"/>
    <w:qFormat/>
    <w:pPr>
      <w:ind w:firstLine="567"/>
      <w:spacing w:line="480" w:lineRule="exact"/>
      <w:widowControl/>
    </w:pPr>
    <w:rPr>
      <w:rFonts w:ascii="宋体"/>
      <w:color w:val="000000"/>
      <w:sz w:val="28"/>
      <w:szCs w:val="20"/>
      <w:lang w:val="zh-CN" w:eastAsia="zh-CN"/>
    </w:rPr>
  </w:style>
  <w:style w:type="paragraph" w:styleId="1307">
    <w:name w:val="Revision"/>
    <w:next w:val="1307"/>
    <w:link w:val="1070"/>
    <w:qFormat/>
    <w:rPr>
      <w:sz w:val="21"/>
      <w:szCs w:val="24"/>
      <w:lang w:val="en-US" w:eastAsia="zh-CN" w:bidi="ar-SA"/>
    </w:rPr>
  </w:style>
  <w:style w:type="paragraph" w:styleId="1308">
    <w:name w:val="Char22"/>
    <w:basedOn w:val="1070"/>
    <w:next w:val="1308"/>
    <w:link w:val="1070"/>
    <w:qFormat/>
    <w:rPr>
      <w:rFonts w:ascii="Tahoma" w:hAnsi="Tahoma"/>
      <w:sz w:val="24"/>
      <w:szCs w:val="20"/>
    </w:rPr>
  </w:style>
  <w:style w:type="paragraph" w:styleId="1309">
    <w:name w:val="Char Char Char Char Char Char Char Char Char Char2"/>
    <w:basedOn w:val="1070"/>
    <w:next w:val="1309"/>
    <w:link w:val="1070"/>
    <w:qFormat/>
    <w:rPr>
      <w:rFonts w:ascii="宋体" w:hAnsi="宋体" w:cs="Courier New"/>
      <w:sz w:val="32"/>
      <w:szCs w:val="32"/>
    </w:rPr>
  </w:style>
  <w:style w:type="paragraph" w:styleId="1310">
    <w:name w:val="Char2 Char Char Char Char Char Char1"/>
    <w:basedOn w:val="1070"/>
    <w:next w:val="1310"/>
    <w:link w:val="1070"/>
    <w:qFormat/>
    <w:pPr>
      <w:jc w:val="center"/>
      <w:spacing w:line="400" w:lineRule="exact"/>
      <w:widowControl/>
    </w:pPr>
  </w:style>
  <w:style w:type="character" w:styleId="1311">
    <w:name w:val="页脚 Char"/>
    <w:next w:val="1311"/>
    <w:link w:val="1070"/>
    <w:qFormat/>
    <w:rPr>
      <w:rFonts w:ascii="宋体" w:eastAsia="宋体"/>
      <w:sz w:val="18"/>
      <w:lang w:val="en-US" w:eastAsia="zh-CN" w:bidi="ar-SA"/>
    </w:rPr>
  </w:style>
  <w:style w:type="paragraph" w:styleId="1312">
    <w:name w:val="Char Char41"/>
    <w:basedOn w:val="1070"/>
    <w:next w:val="1312"/>
    <w:link w:val="1070"/>
    <w:qFormat/>
    <w:pPr>
      <w:jc w:val="center"/>
      <w:spacing w:line="400" w:lineRule="exact"/>
      <w:widowControl/>
    </w:pPr>
  </w:style>
  <w:style w:type="character" w:styleId="1313">
    <w:name w:val="批注文字 Char"/>
    <w:next w:val="1313"/>
    <w:link w:val="1070"/>
    <w:uiPriority w:val="99"/>
    <w:qFormat/>
    <w:rPr>
      <w:sz w:val="21"/>
      <w:szCs w:val="24"/>
    </w:rPr>
  </w:style>
  <w:style w:type="character" w:styleId="1314">
    <w:name w:val="标题 Char"/>
    <w:next w:val="1314"/>
    <w:link w:val="1070"/>
    <w:qFormat/>
    <w:rPr>
      <w:b/>
      <w:sz w:val="32"/>
    </w:rPr>
  </w:style>
  <w:style w:type="paragraph" w:styleId="1315">
    <w:name w:val="图例"/>
    <w:basedOn w:val="1070"/>
    <w:next w:val="1315"/>
    <w:link w:val="1070"/>
    <w:qFormat/>
    <w:pPr>
      <w:jc w:val="center"/>
      <w:spacing w:before="120" w:after="120" w:line="360" w:lineRule="auto"/>
    </w:pPr>
    <w:rPr>
      <w:rFonts w:eastAsia="仿宋_GB2312"/>
      <w:b/>
      <w:sz w:val="24"/>
      <w:szCs w:val="20"/>
    </w:rPr>
  </w:style>
  <w:style w:type="table" w:styleId="1316">
    <w:name w:val="Table Normal"/>
    <w:next w:val="1316"/>
    <w:link w:val="1070"/>
    <w:uiPriority w:val="2"/>
    <w:unhideWhenUsed/>
    <w:qFormat/>
    <w:pPr>
      <w:widowControl w:val="off"/>
    </w:pPr>
    <w:rPr>
      <w:rFonts w:ascii="Calibri" w:hAnsi="Calibri"/>
      <w:sz w:val="22"/>
      <w:szCs w:val="22"/>
      <w:lang w:val="en-US" w:eastAsia="en-US" w:bidi="ar-SA"/>
    </w:rPr>
    <w:tblPr/>
  </w:style>
  <w:style w:type="paragraph" w:styleId="1317">
    <w:name w:val="Table Paragraph"/>
    <w:basedOn w:val="1070"/>
    <w:next w:val="1317"/>
    <w:link w:val="1070"/>
    <w:uiPriority w:val="1"/>
    <w:qFormat/>
    <w:pPr>
      <w:jc w:val="left"/>
    </w:pPr>
    <w:rPr>
      <w:rFonts w:ascii="宋体" w:hAnsi="宋体" w:cs="宋体"/>
      <w:sz w:val="22"/>
      <w:szCs w:val="22"/>
      <w:lang w:eastAsia="en-US"/>
    </w:rPr>
  </w:style>
  <w:style w:type="paragraph" w:styleId="1318">
    <w:name w:val="成文日期"/>
    <w:basedOn w:val="1070"/>
    <w:next w:val="1318"/>
    <w:link w:val="1319"/>
    <w:qFormat/>
    <w:pPr>
      <w:ind w:right="400" w:firstLine="200"/>
      <w:jc w:val="right"/>
      <w:spacing w:line="570" w:lineRule="exact"/>
    </w:pPr>
    <w:rPr>
      <w:rFonts w:ascii="仿宋_GB2312" w:eastAsia="仿宋_GB2312"/>
      <w:sz w:val="32"/>
      <w:szCs w:val="20"/>
    </w:rPr>
  </w:style>
  <w:style w:type="character" w:styleId="1319">
    <w:name w:val="成文日期 Char"/>
    <w:next w:val="1319"/>
    <w:link w:val="1318"/>
    <w:rPr>
      <w:rFonts w:ascii="仿宋_GB2312" w:eastAsia="仿宋_GB2312"/>
      <w:sz w:val="32"/>
    </w:rPr>
  </w:style>
  <w:style w:type="paragraph" w:styleId="1320">
    <w:name w:val="修订"/>
    <w:next w:val="1320"/>
    <w:link w:val="1070"/>
    <w:uiPriority w:val="99"/>
    <w:unhideWhenUsed/>
    <w:rPr>
      <w:sz w:val="21"/>
      <w:szCs w:val="24"/>
      <w:lang w:val="en-US" w:eastAsia="zh-CN" w:bidi="ar-SA"/>
    </w:rPr>
  </w:style>
  <w:style w:type="character" w:styleId="1321">
    <w:name w:val="正文缩进 字符"/>
    <w:next w:val="1321"/>
    <w:link w:val="1070"/>
    <w:uiPriority w:val="99"/>
    <w:qFormat/>
    <w:rPr>
      <w:rFonts w:ascii="宋体" w:hAnsi="Times New Roman" w:eastAsia="宋体" w:cs="Times New Roman"/>
      <w:sz w:val="24"/>
    </w:rPr>
  </w:style>
  <w:style w:type="character" w:styleId="1322">
    <w:name w:val="正文文本 字符"/>
    <w:next w:val="1322"/>
    <w:link w:val="1070"/>
    <w:qFormat/>
    <w:rPr>
      <w:rFonts w:ascii="宋体" w:hAnsi="宋体"/>
      <w:sz w:val="24"/>
      <w:szCs w:val="24"/>
    </w:rPr>
  </w:style>
  <w:style w:type="paragraph" w:styleId="1323">
    <w:name w:val="纯文本1"/>
    <w:next w:val="1124"/>
    <w:link w:val="1070"/>
    <w:qFormat/>
    <w:pPr>
      <w:jc w:val="both"/>
      <w:widowControl w:val="off"/>
    </w:pPr>
    <w:rPr>
      <w:rFonts w:ascii="宋体" w:hAnsi="宋体"/>
      <w:sz w:val="26"/>
      <w:szCs w:val="24"/>
      <w:lang w:val="en-US" w:eastAsia="zh-CN" w:bidi="ar-SA"/>
    </w:rPr>
  </w:style>
  <w:style w:type="paragraph" w:styleId="1324">
    <w:name w:val="AONormal"/>
    <w:next w:val="1324"/>
    <w:link w:val="1070"/>
    <w:qFormat/>
    <w:pPr>
      <w:ind w:firstLine="440"/>
      <w:spacing w:line="400" w:lineRule="exact"/>
    </w:pPr>
    <w:rPr>
      <w:rFonts w:ascii="华文楷体" w:hAnsi="华文楷体" w:eastAsia="华文楷体" w:cs="华文楷体"/>
      <w:sz w:val="22"/>
      <w:szCs w:val="21"/>
      <w:lang w:val="en-US" w:eastAsia="zh-CN" w:bidi="ar-SA"/>
    </w:rPr>
  </w:style>
  <w:style w:type="character" w:styleId="1325">
    <w:name w:val="正文缩进 字符2"/>
    <w:next w:val="1325"/>
    <w:link w:val="1070"/>
    <w:qFormat/>
    <w:rPr>
      <w:rFonts w:ascii="宋体" w:eastAsia="宋体"/>
      <w:sz w:val="24"/>
      <w:szCs w:val="24"/>
      <w:lang w:val="en-US" w:eastAsia="zh-CN" w:bidi="ar-SA"/>
    </w:rPr>
  </w:style>
  <w:style w:type="character" w:styleId="1326">
    <w:name w:val="纯文本 字符3"/>
    <w:next w:val="1326"/>
    <w:link w:val="1070"/>
    <w:qFormat/>
    <w:rPr>
      <w:rFonts w:hint="eastAsia" w:ascii="宋体" w:hAnsi="Courier New" w:eastAsia="宋体" w:cs="宋体"/>
      <w:sz w:val="21"/>
    </w:rPr>
  </w:style>
  <w:style w:type="character" w:styleId="1327">
    <w:name w:val="列出段落 字符1"/>
    <w:next w:val="1327"/>
    <w:link w:val="1070"/>
    <w:uiPriority w:val="34"/>
    <w:qFormat/>
    <w:rPr>
      <w:rFonts w:ascii="Calibri" w:hAnsi="Calibri" w:eastAsia="宋体"/>
      <w:sz w:val="21"/>
      <w:szCs w:val="22"/>
      <w:lang w:val="en-US" w:eastAsia="zh-CN" w:bidi="ar-SA"/>
    </w:rPr>
  </w:style>
  <w:style w:type="character" w:styleId="1328" w:default="1">
    <w:name w:val="Default Paragraph Font"/>
    <w:uiPriority w:val="1"/>
    <w:semiHidden/>
    <w:unhideWhenUsed/>
  </w:style>
  <w:style w:type="numbering" w:styleId="1329" w:default="1">
    <w:name w:val="No List"/>
    <w:uiPriority w:val="99"/>
    <w:semiHidden/>
    <w:unhideWhenUsed/>
  </w:style>
  <w:style w:type="table" w:styleId="13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王逸菲</cp:lastModifiedBy>
  <cp:revision>11</cp:revision>
  <dcterms:created xsi:type="dcterms:W3CDTF">2022-05-30T08:08:00Z</dcterms:created>
  <dcterms:modified xsi:type="dcterms:W3CDTF">2025-12-24T07:18:25Z</dcterms:modified>
  <cp:version>1048576</cp:version>
</cp:coreProperties>
</file>